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EA0D7D" w14:textId="1F4879D3" w:rsidR="00090141" w:rsidRPr="007E14C8" w:rsidRDefault="00054E2E" w:rsidP="00054E2E">
      <w:pPr>
        <w:spacing w:after="120"/>
        <w:jc w:val="center"/>
        <w:rPr>
          <w:rFonts w:ascii="Times New Roman" w:eastAsia="Garamond" w:hAnsi="Times New Roman" w:cs="Times New Roman"/>
          <w:b/>
          <w:bCs/>
          <w:sz w:val="44"/>
          <w:szCs w:val="44"/>
        </w:rPr>
      </w:pPr>
      <w:r w:rsidRPr="007E14C8">
        <w:rPr>
          <w:rFonts w:ascii="Times New Roman" w:eastAsia="Garamond" w:hAnsi="Times New Roman" w:cs="Times New Roman"/>
          <w:b/>
          <w:bCs/>
          <w:sz w:val="44"/>
          <w:szCs w:val="44"/>
        </w:rPr>
        <w:t xml:space="preserve">Resolution </w:t>
      </w:r>
      <w:r w:rsidR="00A6675E">
        <w:rPr>
          <w:rFonts w:ascii="Times New Roman" w:eastAsia="Garamond" w:hAnsi="Times New Roman" w:cs="Times New Roman"/>
          <w:b/>
          <w:bCs/>
          <w:sz w:val="44"/>
          <w:szCs w:val="44"/>
        </w:rPr>
        <w:t>15</w:t>
      </w:r>
      <w:r w:rsidRPr="007E14C8">
        <w:rPr>
          <w:rFonts w:ascii="Times New Roman" w:eastAsia="Garamond" w:hAnsi="Times New Roman" w:cs="Times New Roman"/>
          <w:b/>
          <w:bCs/>
          <w:sz w:val="44"/>
          <w:szCs w:val="44"/>
        </w:rPr>
        <w:t xml:space="preserve">: </w:t>
      </w:r>
      <w:r w:rsidR="00A6675E">
        <w:rPr>
          <w:rFonts w:ascii="Times New Roman" w:eastAsia="Times New Roman" w:hAnsi="Times New Roman" w:cs="Times New Roman"/>
          <w:b/>
          <w:sz w:val="44"/>
          <w:szCs w:val="44"/>
        </w:rPr>
        <w:t>Amend Charter to Streamline SAIFC Operation</w:t>
      </w:r>
    </w:p>
    <w:p w14:paraId="08143035" w14:textId="1A9C7FA2" w:rsidR="00054E2E" w:rsidRPr="007E14C8" w:rsidRDefault="00054E2E" w:rsidP="00054E2E">
      <w:pPr>
        <w:spacing w:after="120"/>
        <w:rPr>
          <w:rFonts w:ascii="Times New Roman" w:eastAsia="Garamond" w:hAnsi="Times New Roman" w:cs="Times New Roman"/>
          <w:sz w:val="24"/>
          <w:szCs w:val="24"/>
        </w:rPr>
      </w:pPr>
      <w:r w:rsidRPr="007E14C8">
        <w:rPr>
          <w:rFonts w:ascii="Times New Roman" w:eastAsia="Garamond" w:hAnsi="Times New Roman" w:cs="Times New Roman"/>
          <w:b/>
          <w:bCs/>
          <w:i/>
          <w:iCs/>
          <w:sz w:val="24"/>
          <w:szCs w:val="24"/>
        </w:rPr>
        <w:t>Abstract:</w:t>
      </w:r>
      <w:r w:rsidRPr="007E14C8">
        <w:rPr>
          <w:rFonts w:ascii="Times New Roman" w:eastAsia="Garamond" w:hAnsi="Times New Roman" w:cs="Times New Roman"/>
          <w:sz w:val="24"/>
          <w:szCs w:val="24"/>
        </w:rPr>
        <w:t xml:space="preserve"> </w:t>
      </w:r>
      <w:r w:rsidR="00A6675E">
        <w:rPr>
          <w:rFonts w:ascii="Times New Roman" w:eastAsia="Times New Roman" w:hAnsi="Times New Roman" w:cs="Times New Roman"/>
          <w:sz w:val="24"/>
          <w:szCs w:val="24"/>
        </w:rPr>
        <w:t xml:space="preserve">This resolution aims to create a more reasonable timeline for the Infrastructure Fund Commission’s workflow and set up rules to help the commission run without conflict of interest and with better connection with ongoing projects. </w:t>
      </w:r>
      <w:r w:rsidRPr="007E14C8">
        <w:rPr>
          <w:rFonts w:ascii="Times New Roman" w:eastAsia="Garamond" w:hAnsi="Times New Roman" w:cs="Times New Roman"/>
          <w:sz w:val="24"/>
          <w:szCs w:val="24"/>
        </w:rPr>
        <w:t xml:space="preserve"> </w:t>
      </w:r>
    </w:p>
    <w:p w14:paraId="098A12C9" w14:textId="404B86A8" w:rsidR="00054E2E" w:rsidRPr="007E14C8" w:rsidRDefault="00054E2E" w:rsidP="00054E2E">
      <w:pPr>
        <w:pBdr>
          <w:bottom w:val="single" w:sz="6" w:space="10" w:color="auto"/>
        </w:pBdr>
        <w:spacing w:after="120"/>
        <w:rPr>
          <w:rFonts w:ascii="Times New Roman" w:eastAsia="Garamond" w:hAnsi="Times New Roman" w:cs="Times New Roman"/>
          <w:sz w:val="24"/>
          <w:szCs w:val="24"/>
        </w:rPr>
      </w:pPr>
      <w:r w:rsidRPr="007E14C8">
        <w:rPr>
          <w:rFonts w:ascii="Times New Roman" w:eastAsia="Garamond" w:hAnsi="Times New Roman" w:cs="Times New Roman"/>
          <w:b/>
          <w:bCs/>
          <w:i/>
          <w:iCs/>
          <w:sz w:val="24"/>
          <w:szCs w:val="24"/>
        </w:rPr>
        <w:t>Sponsored by:</w:t>
      </w:r>
      <w:r w:rsidRPr="007E14C8">
        <w:rPr>
          <w:rFonts w:ascii="Times New Roman" w:eastAsia="Garamond" w:hAnsi="Times New Roman" w:cs="Times New Roman"/>
          <w:sz w:val="24"/>
          <w:szCs w:val="24"/>
        </w:rPr>
        <w:t xml:space="preserve"> </w:t>
      </w:r>
      <w:r w:rsidR="00A6675E">
        <w:rPr>
          <w:rFonts w:ascii="Times New Roman" w:eastAsia="Times New Roman" w:hAnsi="Times New Roman" w:cs="Times New Roman"/>
          <w:sz w:val="24"/>
          <w:szCs w:val="24"/>
        </w:rPr>
        <w:t xml:space="preserve">Flora Meng ‘27, Cion Kim ‘27, Franklin Berry ‘26, Christian </w:t>
      </w:r>
      <w:proofErr w:type="spellStart"/>
      <w:r w:rsidR="00A6675E">
        <w:rPr>
          <w:rFonts w:ascii="Times New Roman" w:eastAsia="Times New Roman" w:hAnsi="Times New Roman" w:cs="Times New Roman"/>
          <w:sz w:val="24"/>
          <w:szCs w:val="24"/>
        </w:rPr>
        <w:t>Tarala</w:t>
      </w:r>
      <w:proofErr w:type="spellEnd"/>
      <w:r w:rsidR="00A6675E">
        <w:rPr>
          <w:rFonts w:ascii="Times New Roman" w:eastAsia="Times New Roman" w:hAnsi="Times New Roman" w:cs="Times New Roman"/>
          <w:sz w:val="24"/>
          <w:szCs w:val="24"/>
        </w:rPr>
        <w:t xml:space="preserve"> ‘27</w:t>
      </w:r>
    </w:p>
    <w:p w14:paraId="2FEB218B" w14:textId="7DF75827" w:rsidR="00B70E31" w:rsidRPr="007E14C8" w:rsidRDefault="39F6B3E8" w:rsidP="00054E2E">
      <w:pPr>
        <w:pBdr>
          <w:bottom w:val="single" w:sz="6" w:space="10" w:color="auto"/>
        </w:pBdr>
        <w:spacing w:after="120"/>
        <w:rPr>
          <w:rFonts w:ascii="Times New Roman" w:eastAsia="Garamond" w:hAnsi="Times New Roman" w:cs="Times New Roman"/>
          <w:sz w:val="24"/>
          <w:szCs w:val="24"/>
        </w:rPr>
      </w:pPr>
      <w:r w:rsidRPr="39F6B3E8">
        <w:rPr>
          <w:rFonts w:ascii="Times New Roman" w:eastAsia="Garamond" w:hAnsi="Times New Roman" w:cs="Times New Roman"/>
          <w:b/>
          <w:bCs/>
          <w:i/>
          <w:iCs/>
          <w:sz w:val="24"/>
          <w:szCs w:val="24"/>
        </w:rPr>
        <w:t>Type of Action:</w:t>
      </w:r>
      <w:r w:rsidRPr="39F6B3E8">
        <w:rPr>
          <w:rFonts w:ascii="Times New Roman" w:eastAsia="Garamond" w:hAnsi="Times New Roman" w:cs="Times New Roman"/>
          <w:sz w:val="24"/>
          <w:szCs w:val="24"/>
        </w:rPr>
        <w:t xml:space="preserve"> Internal Polic</w:t>
      </w:r>
      <w:r w:rsidR="00A6675E">
        <w:rPr>
          <w:rFonts w:ascii="Times New Roman" w:eastAsia="Garamond" w:hAnsi="Times New Roman" w:cs="Times New Roman"/>
          <w:sz w:val="24"/>
          <w:szCs w:val="24"/>
        </w:rPr>
        <w:t>y</w:t>
      </w:r>
    </w:p>
    <w:p w14:paraId="6A7295FA" w14:textId="6D86BA3D" w:rsidR="009A11C0" w:rsidRPr="007E14C8" w:rsidRDefault="2ADFF6FE" w:rsidP="00054E2E">
      <w:pPr>
        <w:pBdr>
          <w:bottom w:val="single" w:sz="6" w:space="10" w:color="auto"/>
        </w:pBdr>
        <w:spacing w:after="120"/>
        <w:rPr>
          <w:rFonts w:ascii="Times New Roman" w:eastAsia="Garamond" w:hAnsi="Times New Roman" w:cs="Times New Roman"/>
          <w:sz w:val="24"/>
          <w:szCs w:val="24"/>
        </w:rPr>
      </w:pPr>
      <w:r w:rsidRPr="2ADFF6FE">
        <w:rPr>
          <w:rFonts w:ascii="Times New Roman" w:eastAsia="Garamond" w:hAnsi="Times New Roman" w:cs="Times New Roman"/>
          <w:b/>
          <w:bCs/>
          <w:i/>
          <w:iCs/>
          <w:sz w:val="24"/>
          <w:szCs w:val="24"/>
        </w:rPr>
        <w:t xml:space="preserve">Originally Presented: </w:t>
      </w:r>
      <w:r w:rsidR="00A6675E">
        <w:rPr>
          <w:rFonts w:ascii="Times New Roman" w:eastAsia="Garamond" w:hAnsi="Times New Roman" w:cs="Times New Roman"/>
          <w:sz w:val="24"/>
          <w:szCs w:val="24"/>
        </w:rPr>
        <w:t>11</w:t>
      </w:r>
      <w:r w:rsidRPr="2ADFF6FE">
        <w:rPr>
          <w:rFonts w:ascii="Times New Roman" w:eastAsia="Garamond" w:hAnsi="Times New Roman" w:cs="Times New Roman"/>
          <w:sz w:val="24"/>
          <w:szCs w:val="24"/>
        </w:rPr>
        <w:t>/</w:t>
      </w:r>
      <w:r w:rsidR="00A6675E">
        <w:rPr>
          <w:rFonts w:ascii="Times New Roman" w:eastAsia="Garamond" w:hAnsi="Times New Roman" w:cs="Times New Roman"/>
          <w:sz w:val="24"/>
          <w:szCs w:val="24"/>
        </w:rPr>
        <w:t>21</w:t>
      </w:r>
      <w:r w:rsidRPr="2ADFF6FE">
        <w:rPr>
          <w:rFonts w:ascii="Times New Roman" w:eastAsia="Garamond" w:hAnsi="Times New Roman" w:cs="Times New Roman"/>
          <w:sz w:val="24"/>
          <w:szCs w:val="24"/>
        </w:rPr>
        <w:t>/</w:t>
      </w:r>
      <w:r w:rsidR="00A6675E">
        <w:rPr>
          <w:rFonts w:ascii="Times New Roman" w:eastAsia="Garamond" w:hAnsi="Times New Roman" w:cs="Times New Roman"/>
          <w:sz w:val="24"/>
          <w:szCs w:val="24"/>
        </w:rPr>
        <w:t>2024</w:t>
      </w:r>
    </w:p>
    <w:p w14:paraId="48F098C6" w14:textId="4D54021E" w:rsidR="00B70E31" w:rsidRPr="007E14C8" w:rsidRDefault="009A11C0" w:rsidP="00054E2E">
      <w:pPr>
        <w:pBdr>
          <w:bottom w:val="single" w:sz="6" w:space="10" w:color="auto"/>
        </w:pBdr>
        <w:spacing w:after="120"/>
        <w:rPr>
          <w:rFonts w:ascii="Times New Roman" w:eastAsia="Garamond" w:hAnsi="Times New Roman" w:cs="Times New Roman"/>
          <w:sz w:val="24"/>
          <w:szCs w:val="24"/>
        </w:rPr>
      </w:pPr>
      <w:r w:rsidRPr="007E14C8">
        <w:rPr>
          <w:rFonts w:ascii="Times New Roman" w:eastAsia="Garamond" w:hAnsi="Times New Roman" w:cs="Times New Roman"/>
          <w:b/>
          <w:bCs/>
          <w:i/>
          <w:iCs/>
          <w:sz w:val="24"/>
          <w:szCs w:val="24"/>
        </w:rPr>
        <w:t>Current Status:</w:t>
      </w:r>
      <w:r w:rsidR="00B70E31" w:rsidRPr="007E14C8">
        <w:rPr>
          <w:rFonts w:ascii="Times New Roman" w:eastAsia="Garamond" w:hAnsi="Times New Roman" w:cs="Times New Roman"/>
          <w:sz w:val="24"/>
          <w:szCs w:val="24"/>
        </w:rPr>
        <w:t xml:space="preserve"> </w:t>
      </w:r>
      <w:r w:rsidR="00790C45">
        <w:rPr>
          <w:rFonts w:ascii="Times New Roman" w:eastAsia="Garamond" w:hAnsi="Times New Roman" w:cs="Times New Roman"/>
          <w:sz w:val="24"/>
          <w:szCs w:val="24"/>
        </w:rPr>
        <w:t>Adopted by the Assembly</w:t>
      </w:r>
      <w:r w:rsidR="00A6675E">
        <w:rPr>
          <w:rFonts w:ascii="Times New Roman" w:eastAsia="Garamond" w:hAnsi="Times New Roman" w:cs="Times New Roman"/>
          <w:sz w:val="24"/>
          <w:szCs w:val="24"/>
        </w:rPr>
        <w:t>, 12/05/2024</w:t>
      </w:r>
      <w:r w:rsidR="00790C45">
        <w:rPr>
          <w:rFonts w:ascii="Times New Roman" w:eastAsia="Garamond" w:hAnsi="Times New Roman" w:cs="Times New Roman"/>
          <w:sz w:val="24"/>
          <w:szCs w:val="24"/>
        </w:rPr>
        <w:t>, Unanimous Consent</w:t>
      </w:r>
    </w:p>
    <w:p w14:paraId="1DF6231A" w14:textId="77777777" w:rsidR="00A6675E" w:rsidRDefault="00A6675E" w:rsidP="00A6675E">
      <w:pPr>
        <w:spacing w:after="120"/>
        <w:rPr>
          <w:rFonts w:ascii="Times New Roman" w:eastAsia="Times New Roman" w:hAnsi="Times New Roman" w:cs="Times New Roman"/>
          <w:sz w:val="24"/>
          <w:szCs w:val="24"/>
        </w:rPr>
      </w:pPr>
      <w:r>
        <w:rPr>
          <w:rFonts w:ascii="Times New Roman" w:eastAsia="Times New Roman" w:hAnsi="Times New Roman" w:cs="Times New Roman"/>
          <w:b/>
          <w:sz w:val="24"/>
          <w:szCs w:val="24"/>
        </w:rPr>
        <w:t>Whereas,</w:t>
      </w:r>
      <w:r>
        <w:rPr>
          <w:rFonts w:ascii="Times New Roman" w:eastAsia="Times New Roman" w:hAnsi="Times New Roman" w:cs="Times New Roman"/>
          <w:sz w:val="24"/>
          <w:szCs w:val="24"/>
        </w:rPr>
        <w:t xml:space="preserve"> the Student Assembly Infrastructure Fund (SAIF) has about $50,000 every year to allocate to infrastructure projects that can improve the well-being of all undergraduates.</w:t>
      </w:r>
    </w:p>
    <w:p w14:paraId="06AD57CB" w14:textId="77777777" w:rsidR="00A6675E" w:rsidRDefault="00A6675E" w:rsidP="00A6675E">
      <w:pPr>
        <w:spacing w:after="120"/>
        <w:rPr>
          <w:rFonts w:ascii="Times New Roman" w:eastAsia="Times New Roman" w:hAnsi="Times New Roman" w:cs="Times New Roman"/>
          <w:sz w:val="24"/>
          <w:szCs w:val="24"/>
        </w:rPr>
      </w:pPr>
      <w:proofErr w:type="gramStart"/>
      <w:r>
        <w:rPr>
          <w:rFonts w:ascii="Times New Roman" w:eastAsia="Times New Roman" w:hAnsi="Times New Roman" w:cs="Times New Roman"/>
          <w:b/>
          <w:sz w:val="24"/>
          <w:szCs w:val="24"/>
        </w:rPr>
        <w:t>Whereas,</w:t>
      </w:r>
      <w:proofErr w:type="gramEnd"/>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Appendix C of the Student Assembly Charter should be used to make sure SAIF is functioning in coordination with the general assembly and the Office of the Assembly in a timely manner.</w:t>
      </w:r>
    </w:p>
    <w:p w14:paraId="430DB4D4" w14:textId="77777777" w:rsidR="00A6675E" w:rsidRDefault="00A6675E" w:rsidP="00A6675E">
      <w:pPr>
        <w:spacing w:after="120"/>
        <w:rPr>
          <w:rFonts w:ascii="Times New Roman" w:eastAsia="Times New Roman" w:hAnsi="Times New Roman" w:cs="Times New Roman"/>
          <w:sz w:val="24"/>
          <w:szCs w:val="24"/>
        </w:rPr>
      </w:pPr>
      <w:proofErr w:type="gramStart"/>
      <w:r>
        <w:rPr>
          <w:rFonts w:ascii="Times New Roman" w:eastAsia="Times New Roman" w:hAnsi="Times New Roman" w:cs="Times New Roman"/>
          <w:b/>
          <w:sz w:val="24"/>
          <w:szCs w:val="24"/>
        </w:rPr>
        <w:t>Whereas,</w:t>
      </w:r>
      <w:proofErr w:type="gramEnd"/>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current timeline required by the charter is not actionable for the parties involved and thus not enforceable.</w:t>
      </w:r>
    </w:p>
    <w:p w14:paraId="7FDEF7B0" w14:textId="77777777" w:rsidR="00A6675E" w:rsidRDefault="00A6675E" w:rsidP="00A6675E">
      <w:pPr>
        <w:spacing w:after="120"/>
        <w:rPr>
          <w:rFonts w:ascii="Times New Roman" w:eastAsia="Times New Roman" w:hAnsi="Times New Roman" w:cs="Times New Roman"/>
          <w:sz w:val="24"/>
          <w:szCs w:val="24"/>
        </w:rPr>
      </w:pPr>
      <w:proofErr w:type="gramStart"/>
      <w:r>
        <w:rPr>
          <w:rFonts w:ascii="Times New Roman" w:eastAsia="Times New Roman" w:hAnsi="Times New Roman" w:cs="Times New Roman"/>
          <w:b/>
          <w:sz w:val="24"/>
          <w:szCs w:val="24"/>
        </w:rPr>
        <w:t>Whereas,</w:t>
      </w:r>
      <w:proofErr w:type="gramEnd"/>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the allocation of the fund should align with the purpose of SAIF and the pursuit of fairness.</w:t>
      </w:r>
    </w:p>
    <w:p w14:paraId="27D11080" w14:textId="77777777" w:rsidR="00A6675E" w:rsidRDefault="00A6675E" w:rsidP="00A6675E">
      <w:pPr>
        <w:spacing w:after="120"/>
        <w:rPr>
          <w:rFonts w:ascii="Times New Roman" w:eastAsia="Times New Roman" w:hAnsi="Times New Roman" w:cs="Times New Roman"/>
          <w:sz w:val="24"/>
          <w:szCs w:val="24"/>
        </w:rPr>
      </w:pPr>
      <w:r>
        <w:rPr>
          <w:rFonts w:ascii="Times New Roman" w:eastAsia="Times New Roman" w:hAnsi="Times New Roman" w:cs="Times New Roman"/>
          <w:b/>
          <w:sz w:val="24"/>
          <w:szCs w:val="24"/>
        </w:rPr>
        <w:t>Whereas,</w:t>
      </w:r>
      <w:r>
        <w:rPr>
          <w:rFonts w:ascii="Times New Roman" w:eastAsia="Times New Roman" w:hAnsi="Times New Roman" w:cs="Times New Roman"/>
          <w:sz w:val="24"/>
          <w:szCs w:val="24"/>
        </w:rPr>
        <w:t xml:space="preserve"> Appendix C has no clarification for conflict of interest from voting members in the Student Assembly Infrastructure Fund Commission (SAIFC).</w:t>
      </w:r>
    </w:p>
    <w:p w14:paraId="1A72D831" w14:textId="77777777" w:rsidR="00A6675E" w:rsidRDefault="00A6675E" w:rsidP="00A6675E">
      <w:pPr>
        <w:spacing w:after="12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Whereas, </w:t>
      </w:r>
      <w:r>
        <w:rPr>
          <w:rFonts w:ascii="Times New Roman" w:eastAsia="Times New Roman" w:hAnsi="Times New Roman" w:cs="Times New Roman"/>
          <w:sz w:val="24"/>
          <w:szCs w:val="24"/>
        </w:rPr>
        <w:t>current Appendix C has neither clear lines to add accountability to fund receivers nor requirements on them to report back to the commission.</w:t>
      </w:r>
    </w:p>
    <w:p w14:paraId="42DC9389" w14:textId="77777777" w:rsidR="00A6675E" w:rsidRDefault="00A6675E" w:rsidP="00A6675E">
      <w:pPr>
        <w:spacing w:after="120"/>
        <w:rPr>
          <w:rFonts w:ascii="Times New Roman" w:eastAsia="Times New Roman" w:hAnsi="Times New Roman" w:cs="Times New Roman"/>
          <w:sz w:val="24"/>
          <w:szCs w:val="24"/>
        </w:rPr>
      </w:pPr>
      <w:r>
        <w:rPr>
          <w:rFonts w:ascii="Times New Roman" w:eastAsia="Times New Roman" w:hAnsi="Times New Roman" w:cs="Times New Roman"/>
          <w:b/>
          <w:sz w:val="24"/>
          <w:szCs w:val="24"/>
        </w:rPr>
        <w:t>Be it therefore resolved,</w:t>
      </w:r>
      <w:r>
        <w:rPr>
          <w:rFonts w:ascii="Times New Roman" w:eastAsia="Times New Roman" w:hAnsi="Times New Roman" w:cs="Times New Roman"/>
          <w:sz w:val="24"/>
          <w:szCs w:val="24"/>
        </w:rPr>
        <w:t xml:space="preserve"> new time points, evaluation procedures with conflict of interest, and requirements for fund receivers to report back to the commission should be adopted for SAIFC operation.</w:t>
      </w:r>
    </w:p>
    <w:p w14:paraId="2314D067" w14:textId="77777777" w:rsidR="00A6675E" w:rsidRDefault="00A6675E" w:rsidP="00A6675E">
      <w:pPr>
        <w:spacing w:after="12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Be it further resolved, </w:t>
      </w:r>
      <w:r>
        <w:rPr>
          <w:rFonts w:ascii="Times New Roman" w:eastAsia="Times New Roman" w:hAnsi="Times New Roman" w:cs="Times New Roman"/>
          <w:sz w:val="24"/>
          <w:szCs w:val="24"/>
        </w:rPr>
        <w:t>the following text should be inserted after</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Appendix C, Section 6. A:</w:t>
      </w:r>
    </w:p>
    <w:p w14:paraId="708BCCE4" w14:textId="77777777" w:rsidR="00A6675E" w:rsidRDefault="00A6675E" w:rsidP="00A6675E">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  be endorsed by at least one Cornell faculty or staff of associated college/units.</w:t>
      </w:r>
    </w:p>
    <w:p w14:paraId="3E403FFD" w14:textId="77777777" w:rsidR="00A6675E" w:rsidRDefault="00A6675E" w:rsidP="00A6675E">
      <w:pPr>
        <w:spacing w:after="12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Be it further resolved, </w:t>
      </w:r>
      <w:r>
        <w:rPr>
          <w:rFonts w:ascii="Times New Roman" w:eastAsia="Times New Roman" w:hAnsi="Times New Roman" w:cs="Times New Roman"/>
          <w:sz w:val="24"/>
          <w:szCs w:val="24"/>
        </w:rPr>
        <w:t>“within a one-year time frame” should be inserted at the end of Appendix C, Section 6.D.</w:t>
      </w:r>
    </w:p>
    <w:p w14:paraId="41E39BCF" w14:textId="77777777" w:rsidR="00A6675E" w:rsidRDefault="00A6675E" w:rsidP="00A6675E">
      <w:pPr>
        <w:spacing w:after="12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Be it further resolved, </w:t>
      </w:r>
      <w:r>
        <w:rPr>
          <w:rFonts w:ascii="Times New Roman" w:eastAsia="Times New Roman" w:hAnsi="Times New Roman" w:cs="Times New Roman"/>
          <w:sz w:val="24"/>
          <w:szCs w:val="24"/>
        </w:rPr>
        <w:t xml:space="preserve">Appendix. C. Section 9. A. </w:t>
      </w:r>
      <w:proofErr w:type="spellStart"/>
      <w:r>
        <w:rPr>
          <w:rFonts w:ascii="Times New Roman" w:eastAsia="Times New Roman" w:hAnsi="Times New Roman" w:cs="Times New Roman"/>
          <w:sz w:val="24"/>
          <w:szCs w:val="24"/>
        </w:rPr>
        <w:t>i</w:t>
      </w:r>
      <w:proofErr w:type="spellEnd"/>
      <w:r>
        <w:rPr>
          <w:rFonts w:ascii="Times New Roman" w:eastAsia="Times New Roman" w:hAnsi="Times New Roman" w:cs="Times New Roman"/>
          <w:sz w:val="24"/>
          <w:szCs w:val="24"/>
        </w:rPr>
        <w:t>. “the second regularly scheduled Student Assembly meeting” be struck and replaced by “the second Student Assembly meeting after the appointment of the chair.”</w:t>
      </w:r>
    </w:p>
    <w:p w14:paraId="53DD384D" w14:textId="77777777" w:rsidR="00A6675E" w:rsidRDefault="00A6675E" w:rsidP="00A6675E">
      <w:pPr>
        <w:spacing w:after="12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Be it further resolved, </w:t>
      </w:r>
      <w:r>
        <w:rPr>
          <w:rFonts w:ascii="Times New Roman" w:eastAsia="Times New Roman" w:hAnsi="Times New Roman" w:cs="Times New Roman"/>
          <w:sz w:val="24"/>
          <w:szCs w:val="24"/>
        </w:rPr>
        <w:t>Appendix. C. Section 9. A. ii. “</w:t>
      </w:r>
      <w:proofErr w:type="gramStart"/>
      <w:r>
        <w:rPr>
          <w:rFonts w:ascii="Times New Roman" w:eastAsia="Times New Roman" w:hAnsi="Times New Roman" w:cs="Times New Roman"/>
          <w:sz w:val="24"/>
          <w:szCs w:val="24"/>
        </w:rPr>
        <w:t>the</w:t>
      </w:r>
      <w:proofErr w:type="gramEnd"/>
      <w:r>
        <w:rPr>
          <w:rFonts w:ascii="Times New Roman" w:eastAsia="Times New Roman" w:hAnsi="Times New Roman" w:cs="Times New Roman"/>
          <w:sz w:val="24"/>
          <w:szCs w:val="24"/>
        </w:rPr>
        <w:t xml:space="preserve"> third regularly scheduled Student Assembly meeting, or one week following the meeting with the SAIF Chair” be struck and replaced with “the transfer of the fund to SAIF account, or November 1st.”</w:t>
      </w:r>
    </w:p>
    <w:p w14:paraId="68C5D596" w14:textId="77777777" w:rsidR="00A6675E" w:rsidRDefault="00A6675E" w:rsidP="00A6675E">
      <w:pPr>
        <w:spacing w:after="12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Be it further resolved, </w:t>
      </w:r>
      <w:r>
        <w:rPr>
          <w:rFonts w:ascii="Times New Roman" w:eastAsia="Times New Roman" w:hAnsi="Times New Roman" w:cs="Times New Roman"/>
          <w:sz w:val="24"/>
          <w:szCs w:val="24"/>
        </w:rPr>
        <w:t>Appendix. C. Section 9. A. iii. “</w:t>
      </w:r>
      <w:proofErr w:type="gramStart"/>
      <w:r>
        <w:rPr>
          <w:rFonts w:ascii="Times New Roman" w:eastAsia="Times New Roman" w:hAnsi="Times New Roman" w:cs="Times New Roman"/>
          <w:sz w:val="24"/>
          <w:szCs w:val="24"/>
        </w:rPr>
        <w:t>the</w:t>
      </w:r>
      <w:proofErr w:type="gramEnd"/>
      <w:r>
        <w:rPr>
          <w:rFonts w:ascii="Times New Roman" w:eastAsia="Times New Roman" w:hAnsi="Times New Roman" w:cs="Times New Roman"/>
          <w:sz w:val="24"/>
          <w:szCs w:val="24"/>
        </w:rPr>
        <w:t xml:space="preserve"> second regularly scheduled Student Assembly meeting of the Fall semester” be struck and replaced with “the transfer of the fund to SAIF account, or November 1st, whichever is sooner.”</w:t>
      </w:r>
    </w:p>
    <w:p w14:paraId="089FBFC0" w14:textId="77777777" w:rsidR="00A6675E" w:rsidRDefault="00A6675E" w:rsidP="00A6675E">
      <w:pPr>
        <w:spacing w:after="12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Be it further resolved, </w:t>
      </w:r>
      <w:r>
        <w:rPr>
          <w:rFonts w:ascii="Times New Roman" w:eastAsia="Times New Roman" w:hAnsi="Times New Roman" w:cs="Times New Roman"/>
          <w:sz w:val="24"/>
          <w:szCs w:val="24"/>
        </w:rPr>
        <w:t>Appendix. C. Section 9. A. iv. “</w:t>
      </w:r>
      <w:proofErr w:type="gramStart"/>
      <w:r>
        <w:rPr>
          <w:rFonts w:ascii="Times New Roman" w:eastAsia="Times New Roman" w:hAnsi="Times New Roman" w:cs="Times New Roman"/>
          <w:sz w:val="24"/>
          <w:szCs w:val="24"/>
        </w:rPr>
        <w:t>the</w:t>
      </w:r>
      <w:proofErr w:type="gramEnd"/>
      <w:r>
        <w:rPr>
          <w:rFonts w:ascii="Times New Roman" w:eastAsia="Times New Roman" w:hAnsi="Times New Roman" w:cs="Times New Roman"/>
          <w:sz w:val="24"/>
          <w:szCs w:val="24"/>
        </w:rPr>
        <w:t xml:space="preserve"> third regularly scheduled Student Assembly meeting of the Student Assembly each semester” be struck and replaced with “for fall semester before the fund is transferred to SAIF account, and for spring semester by the third regularly scheduled meeting of the Student Assembly.”</w:t>
      </w:r>
    </w:p>
    <w:p w14:paraId="738BDD92" w14:textId="77777777" w:rsidR="00A6675E" w:rsidRDefault="00A6675E" w:rsidP="00A6675E">
      <w:pPr>
        <w:spacing w:after="120"/>
        <w:rPr>
          <w:rFonts w:ascii="Times New Roman" w:eastAsia="Times New Roman" w:hAnsi="Times New Roman" w:cs="Times New Roman"/>
          <w:sz w:val="24"/>
          <w:szCs w:val="24"/>
        </w:rPr>
      </w:pPr>
      <w:r>
        <w:rPr>
          <w:rFonts w:ascii="Times New Roman" w:eastAsia="Times New Roman" w:hAnsi="Times New Roman" w:cs="Times New Roman"/>
          <w:b/>
          <w:sz w:val="24"/>
          <w:szCs w:val="24"/>
        </w:rPr>
        <w:t>Be it further resolved,</w:t>
      </w:r>
      <w:r>
        <w:rPr>
          <w:rFonts w:ascii="Times New Roman" w:eastAsia="Times New Roman" w:hAnsi="Times New Roman" w:cs="Times New Roman"/>
          <w:sz w:val="24"/>
          <w:szCs w:val="24"/>
        </w:rPr>
        <w:t xml:space="preserve"> “members with conflict of interest abstained from conflicted projects’ voting” should be inserted to the end of the Appendix. C. Section 9. B. </w:t>
      </w:r>
      <w:proofErr w:type="spellStart"/>
      <w:r>
        <w:rPr>
          <w:rFonts w:ascii="Times New Roman" w:eastAsia="Times New Roman" w:hAnsi="Times New Roman" w:cs="Times New Roman"/>
          <w:sz w:val="24"/>
          <w:szCs w:val="24"/>
        </w:rPr>
        <w:t>i</w:t>
      </w:r>
      <w:proofErr w:type="spellEnd"/>
      <w:r>
        <w:rPr>
          <w:rFonts w:ascii="Times New Roman" w:eastAsia="Times New Roman" w:hAnsi="Times New Roman" w:cs="Times New Roman"/>
          <w:sz w:val="24"/>
          <w:szCs w:val="24"/>
        </w:rPr>
        <w:t xml:space="preserve">. d. </w:t>
      </w:r>
    </w:p>
    <w:p w14:paraId="57C02C6A" w14:textId="77777777" w:rsidR="00A6675E" w:rsidRDefault="00A6675E" w:rsidP="00A6675E">
      <w:pPr>
        <w:spacing w:after="12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Be it </w:t>
      </w:r>
      <w:proofErr w:type="gramStart"/>
      <w:r>
        <w:rPr>
          <w:rFonts w:ascii="Times New Roman" w:eastAsia="Times New Roman" w:hAnsi="Times New Roman" w:cs="Times New Roman"/>
          <w:b/>
          <w:sz w:val="24"/>
          <w:szCs w:val="24"/>
        </w:rPr>
        <w:t>further resolved,</w:t>
      </w:r>
      <w:proofErr w:type="gramEnd"/>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the following text should be inserted after Appendix. C. Section 9. B. </w:t>
      </w:r>
      <w:proofErr w:type="spellStart"/>
      <w:r>
        <w:rPr>
          <w:rFonts w:ascii="Times New Roman" w:eastAsia="Times New Roman" w:hAnsi="Times New Roman" w:cs="Times New Roman"/>
          <w:sz w:val="24"/>
          <w:szCs w:val="24"/>
        </w:rPr>
        <w:t>i</w:t>
      </w:r>
      <w:proofErr w:type="spellEnd"/>
      <w:r>
        <w:rPr>
          <w:rFonts w:ascii="Times New Roman" w:eastAsia="Times New Roman" w:hAnsi="Times New Roman" w:cs="Times New Roman"/>
          <w:sz w:val="24"/>
          <w:szCs w:val="24"/>
        </w:rPr>
        <w:t>. B.</w:t>
      </w:r>
    </w:p>
    <w:p w14:paraId="0274BA73" w14:textId="77777777" w:rsidR="00A6675E" w:rsidRPr="00206D38" w:rsidRDefault="00A6675E" w:rsidP="00A6675E">
      <w:pPr>
        <w:pStyle w:val="ListParagraph"/>
        <w:widowControl w:val="0"/>
        <w:numPr>
          <w:ilvl w:val="0"/>
          <w:numId w:val="12"/>
        </w:numPr>
        <w:autoSpaceDE w:val="0"/>
        <w:autoSpaceDN w:val="0"/>
        <w:spacing w:before="3" w:line="240" w:lineRule="auto"/>
        <w:contextualSpacing w:val="0"/>
        <w:rPr>
          <w:rFonts w:ascii="Times New Roman" w:eastAsia="Times New Roman" w:hAnsi="Times New Roman" w:cs="Times New Roman"/>
          <w:sz w:val="24"/>
          <w:szCs w:val="24"/>
          <w:lang w:val="en" w:eastAsia="zh-CN"/>
        </w:rPr>
      </w:pPr>
      <w:r w:rsidRPr="00206D38">
        <w:rPr>
          <w:rFonts w:ascii="Times New Roman" w:eastAsia="Times New Roman" w:hAnsi="Times New Roman" w:cs="Times New Roman"/>
          <w:sz w:val="24"/>
          <w:szCs w:val="24"/>
          <w:lang w:val="en" w:eastAsia="zh-CN"/>
        </w:rPr>
        <w:t>clarify the conflict of interest of commission members</w:t>
      </w:r>
      <w:r>
        <w:rPr>
          <w:rFonts w:ascii="Times New Roman" w:eastAsia="Times New Roman" w:hAnsi="Times New Roman" w:cs="Times New Roman"/>
          <w:sz w:val="24"/>
          <w:szCs w:val="24"/>
          <w:vertAlign w:val="superscript"/>
          <w:lang w:val="en" w:eastAsia="zh-CN"/>
        </w:rPr>
        <w:t>1</w:t>
      </w:r>
      <w:r w:rsidRPr="00206D38">
        <w:rPr>
          <w:rFonts w:eastAsia="Times New Roman"/>
          <w:sz w:val="24"/>
          <w:szCs w:val="24"/>
          <w:lang w:val="en" w:eastAsia="zh-CN"/>
        </w:rPr>
        <w:footnoteReference w:id="1"/>
      </w:r>
      <w:r w:rsidRPr="00206D38">
        <w:rPr>
          <w:rFonts w:ascii="Times New Roman" w:eastAsia="Times New Roman" w:hAnsi="Times New Roman" w:cs="Times New Roman"/>
          <w:sz w:val="24"/>
          <w:szCs w:val="24"/>
          <w:lang w:val="en" w:eastAsia="zh-CN"/>
        </w:rPr>
        <w:t>,</w:t>
      </w:r>
    </w:p>
    <w:p w14:paraId="53217C62" w14:textId="77777777" w:rsidR="00A6675E" w:rsidRPr="00206D38" w:rsidRDefault="00A6675E" w:rsidP="00A6675E">
      <w:pPr>
        <w:pStyle w:val="ListParagraph"/>
        <w:widowControl w:val="0"/>
        <w:numPr>
          <w:ilvl w:val="1"/>
          <w:numId w:val="12"/>
        </w:numPr>
        <w:autoSpaceDE w:val="0"/>
        <w:autoSpaceDN w:val="0"/>
        <w:spacing w:before="3" w:line="240" w:lineRule="auto"/>
        <w:contextualSpacing w:val="0"/>
        <w:rPr>
          <w:rFonts w:ascii="Times New Roman" w:eastAsia="Times New Roman" w:hAnsi="Times New Roman" w:cs="Times New Roman"/>
          <w:sz w:val="24"/>
          <w:szCs w:val="24"/>
          <w:lang w:val="en" w:eastAsia="zh-CN"/>
        </w:rPr>
      </w:pPr>
      <w:r w:rsidRPr="00206D38">
        <w:rPr>
          <w:rFonts w:ascii="Times New Roman" w:eastAsia="Times New Roman" w:hAnsi="Times New Roman" w:cs="Times New Roman"/>
          <w:sz w:val="24"/>
          <w:szCs w:val="24"/>
          <w:lang w:val="en" w:eastAsia="zh-CN"/>
        </w:rPr>
        <w:t xml:space="preserve">An individual is considered to have a </w:t>
      </w:r>
      <w:r w:rsidRPr="00206D38">
        <w:rPr>
          <w:rFonts w:ascii="Times New Roman" w:eastAsia="Times New Roman" w:hAnsi="Times New Roman" w:cs="Times New Roman" w:hint="eastAsia"/>
          <w:sz w:val="24"/>
          <w:szCs w:val="24"/>
          <w:lang w:val="en" w:eastAsia="zh-CN"/>
        </w:rPr>
        <w:t>c</w:t>
      </w:r>
      <w:r w:rsidRPr="00206D38">
        <w:rPr>
          <w:rFonts w:ascii="Times New Roman" w:eastAsia="Times New Roman" w:hAnsi="Times New Roman" w:cs="Times New Roman"/>
          <w:sz w:val="24"/>
          <w:szCs w:val="24"/>
          <w:lang w:val="en" w:eastAsia="zh-CN"/>
        </w:rPr>
        <w:t xml:space="preserve">onflict of </w:t>
      </w:r>
      <w:r w:rsidRPr="00206D38">
        <w:rPr>
          <w:rFonts w:ascii="Times New Roman" w:eastAsia="Times New Roman" w:hAnsi="Times New Roman" w:cs="Times New Roman" w:hint="eastAsia"/>
          <w:sz w:val="24"/>
          <w:szCs w:val="24"/>
          <w:lang w:val="en" w:eastAsia="zh-CN"/>
        </w:rPr>
        <w:t>i</w:t>
      </w:r>
      <w:r w:rsidRPr="00206D38">
        <w:rPr>
          <w:rFonts w:ascii="Times New Roman" w:eastAsia="Times New Roman" w:hAnsi="Times New Roman" w:cs="Times New Roman"/>
          <w:sz w:val="24"/>
          <w:szCs w:val="24"/>
          <w:lang w:val="en" w:eastAsia="zh-CN"/>
        </w:rPr>
        <w:t>nterest when they:</w:t>
      </w:r>
    </w:p>
    <w:p w14:paraId="46AD94B2" w14:textId="77777777" w:rsidR="00A6675E" w:rsidRPr="00206D38" w:rsidRDefault="00A6675E" w:rsidP="00A6675E">
      <w:pPr>
        <w:pStyle w:val="ListParagraph"/>
        <w:widowControl w:val="0"/>
        <w:numPr>
          <w:ilvl w:val="2"/>
          <w:numId w:val="12"/>
        </w:numPr>
        <w:autoSpaceDE w:val="0"/>
        <w:autoSpaceDN w:val="0"/>
        <w:spacing w:before="3" w:line="240" w:lineRule="auto"/>
        <w:contextualSpacing w:val="0"/>
        <w:rPr>
          <w:rFonts w:ascii="Times New Roman" w:eastAsia="Times New Roman" w:hAnsi="Times New Roman" w:cs="Times New Roman"/>
          <w:sz w:val="24"/>
          <w:szCs w:val="24"/>
          <w:lang w:val="en" w:eastAsia="zh-CN"/>
        </w:rPr>
      </w:pPr>
      <w:r w:rsidRPr="00206D38">
        <w:rPr>
          <w:rFonts w:ascii="Times New Roman" w:eastAsia="Times New Roman" w:hAnsi="Times New Roman" w:cs="Times New Roman"/>
          <w:sz w:val="24"/>
          <w:szCs w:val="24"/>
          <w:lang w:val="en" w:eastAsia="zh-CN"/>
        </w:rPr>
        <w:t>has an existing or potential significant financial interest or other material interest or relationship that impairs or might appear to impair the individual's independence and objectivity in the discharge of their responsibilities to the commission; or</w:t>
      </w:r>
    </w:p>
    <w:p w14:paraId="0C2E3A06" w14:textId="77777777" w:rsidR="00A6675E" w:rsidRPr="00206D38" w:rsidRDefault="00A6675E" w:rsidP="00A6675E">
      <w:pPr>
        <w:pStyle w:val="ListParagraph"/>
        <w:widowControl w:val="0"/>
        <w:numPr>
          <w:ilvl w:val="2"/>
          <w:numId w:val="12"/>
        </w:numPr>
        <w:autoSpaceDE w:val="0"/>
        <w:autoSpaceDN w:val="0"/>
        <w:spacing w:before="3" w:line="240" w:lineRule="auto"/>
        <w:contextualSpacing w:val="0"/>
        <w:rPr>
          <w:rFonts w:ascii="Times New Roman" w:eastAsia="Times New Roman" w:hAnsi="Times New Roman" w:cs="Times New Roman"/>
          <w:sz w:val="24"/>
          <w:szCs w:val="24"/>
          <w:lang w:val="en" w:eastAsia="zh-CN"/>
        </w:rPr>
      </w:pPr>
      <w:r w:rsidRPr="00206D38">
        <w:rPr>
          <w:rFonts w:ascii="Times New Roman" w:eastAsia="Times New Roman" w:hAnsi="Times New Roman" w:cs="Times New Roman"/>
          <w:sz w:val="24"/>
          <w:szCs w:val="24"/>
          <w:lang w:val="en" w:eastAsia="zh-CN"/>
        </w:rPr>
        <w:t>may receive a financial or other material benefit from information confidential to the commission.</w:t>
      </w:r>
    </w:p>
    <w:p w14:paraId="6474A4FC" w14:textId="77777777" w:rsidR="00A6675E" w:rsidRDefault="00A6675E" w:rsidP="00A6675E">
      <w:pPr>
        <w:pStyle w:val="ListParagraph"/>
        <w:widowControl w:val="0"/>
        <w:numPr>
          <w:ilvl w:val="2"/>
          <w:numId w:val="12"/>
        </w:numPr>
        <w:autoSpaceDE w:val="0"/>
        <w:autoSpaceDN w:val="0"/>
        <w:spacing w:before="3" w:line="240" w:lineRule="auto"/>
        <w:contextualSpacing w:val="0"/>
        <w:rPr>
          <w:rFonts w:ascii="Times New Roman" w:eastAsia="Times New Roman" w:hAnsi="Times New Roman" w:cs="Times New Roman"/>
          <w:sz w:val="24"/>
          <w:szCs w:val="24"/>
          <w:lang w:val="en" w:eastAsia="zh-CN"/>
        </w:rPr>
      </w:pPr>
      <w:r w:rsidRPr="00206D38">
        <w:rPr>
          <w:rFonts w:ascii="Times New Roman" w:eastAsia="Times New Roman" w:hAnsi="Times New Roman" w:cs="Times New Roman"/>
          <w:sz w:val="24"/>
          <w:szCs w:val="24"/>
          <w:lang w:val="en" w:eastAsia="zh-CN"/>
        </w:rPr>
        <w:t xml:space="preserve">Typically, a </w:t>
      </w:r>
      <w:r w:rsidRPr="00206D38">
        <w:rPr>
          <w:rFonts w:ascii="Times New Roman" w:eastAsia="Times New Roman" w:hAnsi="Times New Roman" w:cs="Times New Roman" w:hint="eastAsia"/>
          <w:sz w:val="24"/>
          <w:szCs w:val="24"/>
          <w:lang w:val="en" w:eastAsia="zh-CN"/>
        </w:rPr>
        <w:t>c</w:t>
      </w:r>
      <w:r w:rsidRPr="00206D38">
        <w:rPr>
          <w:rFonts w:ascii="Times New Roman" w:eastAsia="Times New Roman" w:hAnsi="Times New Roman" w:cs="Times New Roman"/>
          <w:sz w:val="24"/>
          <w:szCs w:val="24"/>
          <w:lang w:val="en" w:eastAsia="zh-CN"/>
        </w:rPr>
        <w:t xml:space="preserve">onflict of </w:t>
      </w:r>
      <w:r w:rsidRPr="00206D38">
        <w:rPr>
          <w:rFonts w:ascii="Times New Roman" w:eastAsia="Times New Roman" w:hAnsi="Times New Roman" w:cs="Times New Roman" w:hint="eastAsia"/>
          <w:sz w:val="24"/>
          <w:szCs w:val="24"/>
          <w:lang w:val="en" w:eastAsia="zh-CN"/>
        </w:rPr>
        <w:t>i</w:t>
      </w:r>
      <w:r w:rsidRPr="00206D38">
        <w:rPr>
          <w:rFonts w:ascii="Times New Roman" w:eastAsia="Times New Roman" w:hAnsi="Times New Roman" w:cs="Times New Roman"/>
          <w:sz w:val="24"/>
          <w:szCs w:val="24"/>
          <w:lang w:val="en" w:eastAsia="zh-CN"/>
        </w:rPr>
        <w:t>nterest may arise when an individual has the opportunity or perceived opportunity to influence the commission’s funding allocation in a manner implicating personal gain or competitive advantage of any kind.</w:t>
      </w:r>
    </w:p>
    <w:p w14:paraId="69EA4936" w14:textId="77777777" w:rsidR="00A6675E" w:rsidRPr="00206D38" w:rsidRDefault="00A6675E" w:rsidP="00A6675E">
      <w:pPr>
        <w:pStyle w:val="ListParagraph"/>
        <w:ind w:left="2304"/>
        <w:rPr>
          <w:rFonts w:ascii="Times New Roman" w:eastAsia="Times New Roman" w:hAnsi="Times New Roman" w:cs="Times New Roman"/>
          <w:sz w:val="24"/>
          <w:szCs w:val="24"/>
          <w:lang w:val="en" w:eastAsia="zh-CN"/>
        </w:rPr>
      </w:pPr>
    </w:p>
    <w:p w14:paraId="5C078B82" w14:textId="77777777" w:rsidR="00A6675E" w:rsidRDefault="00A6675E" w:rsidP="00A6675E">
      <w:pPr>
        <w:spacing w:after="12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Be it further resolved, </w:t>
      </w: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i</w:t>
      </w:r>
      <w:proofErr w:type="spellEnd"/>
      <w:r>
        <w:rPr>
          <w:rFonts w:ascii="Times New Roman" w:eastAsia="Times New Roman" w:hAnsi="Times New Roman" w:cs="Times New Roman"/>
          <w:sz w:val="24"/>
          <w:szCs w:val="24"/>
        </w:rPr>
        <w:t xml:space="preserve">.   The ongoing projects shall report back to the commission about the progress of the project, the expected time to complete, and the latest person of contact within 6 </w:t>
      </w:r>
      <w:proofErr w:type="gramStart"/>
      <w:r>
        <w:rPr>
          <w:rFonts w:ascii="Times New Roman" w:eastAsia="Times New Roman" w:hAnsi="Times New Roman" w:cs="Times New Roman"/>
          <w:sz w:val="24"/>
          <w:szCs w:val="24"/>
        </w:rPr>
        <w:t>month</w:t>
      </w:r>
      <w:proofErr w:type="gramEnd"/>
      <w:r>
        <w:rPr>
          <w:rFonts w:ascii="Times New Roman" w:eastAsia="Times New Roman" w:hAnsi="Times New Roman" w:cs="Times New Roman"/>
          <w:sz w:val="24"/>
          <w:szCs w:val="24"/>
        </w:rPr>
        <w:t xml:space="preserve"> after the transfer is made” be inserted after Appendix C. Section 9. B. vii.</w:t>
      </w:r>
    </w:p>
    <w:p w14:paraId="287FF3D6" w14:textId="77777777" w:rsidR="00A6675E" w:rsidRDefault="00A6675E" w:rsidP="00A6675E">
      <w:pPr>
        <w:spacing w:after="12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Be it finally resolved, </w:t>
      </w:r>
      <w:r>
        <w:rPr>
          <w:rFonts w:ascii="Times New Roman" w:eastAsia="Times New Roman" w:hAnsi="Times New Roman" w:cs="Times New Roman"/>
          <w:sz w:val="24"/>
          <w:szCs w:val="24"/>
        </w:rPr>
        <w:t>future chair and members of the SAIFC and SAIF applicants should comply with the amended charter.</w:t>
      </w:r>
    </w:p>
    <w:p w14:paraId="4FBA2B03" w14:textId="77777777" w:rsidR="00A6675E" w:rsidRDefault="00A6675E" w:rsidP="00A6675E">
      <w:pPr>
        <w:spacing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Respectfully Submitted,</w:t>
      </w:r>
    </w:p>
    <w:p w14:paraId="3410FCDD" w14:textId="77777777" w:rsidR="00A6675E" w:rsidRDefault="00A6675E" w:rsidP="00A6675E">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Flora Meng ’27</w:t>
      </w:r>
    </w:p>
    <w:p w14:paraId="0AC17DE9" w14:textId="622EDFA7" w:rsidR="00A6675E" w:rsidRDefault="00A6675E" w:rsidP="00A6675E">
      <w:pPr>
        <w:spacing w:after="120"/>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Chair, Infrastructure Fund Commission, </w:t>
      </w:r>
      <w:r w:rsidRPr="00A6675E">
        <w:rPr>
          <w:rFonts w:ascii="Times New Roman" w:eastAsia="Times New Roman" w:hAnsi="Times New Roman" w:cs="Times New Roman"/>
          <w:iCs/>
          <w:sz w:val="24"/>
          <w:szCs w:val="24"/>
        </w:rPr>
        <w:t>Student Assembly</w:t>
      </w:r>
    </w:p>
    <w:p w14:paraId="3C07FC08" w14:textId="77777777" w:rsidR="00A6675E" w:rsidRDefault="00A6675E" w:rsidP="00A6675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95C9514" w14:textId="77777777" w:rsidR="00A6675E" w:rsidRDefault="00A6675E" w:rsidP="00A6675E">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Cion Kim ‘27</w:t>
      </w:r>
    </w:p>
    <w:p w14:paraId="0FCFCF66" w14:textId="77777777" w:rsidR="00A6675E" w:rsidRDefault="00A6675E" w:rsidP="00A6675E">
      <w:pPr>
        <w:spacing w:after="120"/>
        <w:rPr>
          <w:rFonts w:ascii="Times New Roman" w:eastAsia="Times New Roman" w:hAnsi="Times New Roman" w:cs="Times New Roman"/>
          <w:i/>
          <w:sz w:val="24"/>
          <w:szCs w:val="24"/>
        </w:rPr>
      </w:pPr>
      <w:r>
        <w:rPr>
          <w:rFonts w:ascii="Times New Roman" w:eastAsia="Times New Roman" w:hAnsi="Times New Roman" w:cs="Times New Roman"/>
          <w:i/>
          <w:sz w:val="24"/>
          <w:szCs w:val="24"/>
        </w:rPr>
        <w:t>College of Engineering Representative, Student Assembly</w:t>
      </w:r>
    </w:p>
    <w:p w14:paraId="32543933" w14:textId="77777777" w:rsidR="00A6675E" w:rsidRDefault="00A6675E" w:rsidP="00A6675E">
      <w:pPr>
        <w:spacing w:after="120"/>
        <w:rPr>
          <w:rFonts w:ascii="Times New Roman" w:eastAsia="Times New Roman" w:hAnsi="Times New Roman" w:cs="Times New Roman"/>
          <w:sz w:val="24"/>
          <w:szCs w:val="24"/>
        </w:rPr>
      </w:pPr>
    </w:p>
    <w:p w14:paraId="64231565" w14:textId="77777777" w:rsidR="00A6675E" w:rsidRDefault="00A6675E" w:rsidP="00A6675E">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Franklin Berry ‘26</w:t>
      </w:r>
    </w:p>
    <w:p w14:paraId="30F8A28D" w14:textId="77777777" w:rsidR="00A6675E" w:rsidRDefault="00A6675E" w:rsidP="00A6675E">
      <w:pPr>
        <w:spacing w:after="120"/>
        <w:rPr>
          <w:rFonts w:ascii="Times New Roman" w:eastAsia="Times New Roman" w:hAnsi="Times New Roman" w:cs="Times New Roman"/>
          <w:i/>
          <w:sz w:val="24"/>
          <w:szCs w:val="24"/>
        </w:rPr>
      </w:pPr>
      <w:r>
        <w:rPr>
          <w:rFonts w:ascii="Times New Roman" w:eastAsia="Times New Roman" w:hAnsi="Times New Roman" w:cs="Times New Roman"/>
          <w:i/>
          <w:sz w:val="24"/>
          <w:szCs w:val="24"/>
        </w:rPr>
        <w:t>Member of Student Assembly Infrastructure Fund Commission</w:t>
      </w:r>
    </w:p>
    <w:p w14:paraId="4D80D36A" w14:textId="77777777" w:rsidR="00A6675E" w:rsidRDefault="00A6675E" w:rsidP="00A6675E">
      <w:pPr>
        <w:spacing w:after="120"/>
        <w:rPr>
          <w:rFonts w:ascii="Times New Roman" w:eastAsia="Times New Roman" w:hAnsi="Times New Roman" w:cs="Times New Roman"/>
          <w:i/>
          <w:sz w:val="24"/>
          <w:szCs w:val="24"/>
        </w:rPr>
      </w:pPr>
    </w:p>
    <w:p w14:paraId="623B5B54" w14:textId="77777777" w:rsidR="00A6675E" w:rsidRDefault="00A6675E" w:rsidP="00A6675E">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Christian </w:t>
      </w:r>
      <w:proofErr w:type="spellStart"/>
      <w:r>
        <w:rPr>
          <w:rFonts w:ascii="Times New Roman" w:eastAsia="Times New Roman" w:hAnsi="Times New Roman" w:cs="Times New Roman"/>
          <w:sz w:val="24"/>
          <w:szCs w:val="24"/>
        </w:rPr>
        <w:t>Tarala</w:t>
      </w:r>
      <w:proofErr w:type="spellEnd"/>
      <w:r>
        <w:rPr>
          <w:rFonts w:ascii="Times New Roman" w:eastAsia="Times New Roman" w:hAnsi="Times New Roman" w:cs="Times New Roman"/>
          <w:sz w:val="24"/>
          <w:szCs w:val="24"/>
        </w:rPr>
        <w:t xml:space="preserve"> ‘27</w:t>
      </w:r>
    </w:p>
    <w:p w14:paraId="75D4F3BA" w14:textId="1A2B8CD8" w:rsidR="00A63959" w:rsidRPr="007E14C8" w:rsidRDefault="00A6675E" w:rsidP="00A6675E">
      <w:pPr>
        <w:spacing w:after="120"/>
        <w:rPr>
          <w:rStyle w:val="LineNumber"/>
          <w:rFonts w:cs="Times New Roman"/>
          <w:sz w:val="24"/>
          <w:szCs w:val="24"/>
        </w:rPr>
      </w:pPr>
      <w:r>
        <w:rPr>
          <w:rFonts w:ascii="Times New Roman" w:eastAsia="Times New Roman" w:hAnsi="Times New Roman" w:cs="Times New Roman"/>
          <w:i/>
          <w:sz w:val="24"/>
          <w:szCs w:val="24"/>
        </w:rPr>
        <w:t>School of Hotel Administration Representative, Student Assembly</w:t>
      </w:r>
    </w:p>
    <w:sectPr w:rsidR="00A63959" w:rsidRPr="007E14C8" w:rsidSect="00B038A0">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317BE7" w14:textId="77777777" w:rsidR="005A07B8" w:rsidRDefault="005A07B8" w:rsidP="00233128">
      <w:pPr>
        <w:spacing w:line="240" w:lineRule="auto"/>
      </w:pPr>
      <w:r>
        <w:separator/>
      </w:r>
    </w:p>
  </w:endnote>
  <w:endnote w:type="continuationSeparator" w:id="0">
    <w:p w14:paraId="00C071E5" w14:textId="77777777" w:rsidR="005A07B8" w:rsidRDefault="005A07B8" w:rsidP="0023312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C960E6" w14:textId="77777777" w:rsidR="007E2EC1" w:rsidRDefault="007E2E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BF8066" w14:textId="77777777" w:rsidR="00830C73" w:rsidRDefault="00830C73" w:rsidP="00830C73">
    <w:pPr>
      <w:pBdr>
        <w:bottom w:val="single" w:sz="6" w:space="1" w:color="auto"/>
      </w:pBdr>
      <w:spacing w:line="240" w:lineRule="auto"/>
      <w:jc w:val="center"/>
      <w:rPr>
        <w:rFonts w:eastAsia="Times New Roman" w:cs="Times New Roman"/>
        <w:i/>
        <w:color w:val="auto"/>
        <w:sz w:val="21"/>
        <w:szCs w:val="24"/>
      </w:rPr>
    </w:pPr>
  </w:p>
  <w:p w14:paraId="17ADB52E" w14:textId="77777777" w:rsidR="00830C73" w:rsidRPr="00BC116D" w:rsidRDefault="00830C73" w:rsidP="00830C73">
    <w:pPr>
      <w:spacing w:line="240" w:lineRule="auto"/>
      <w:jc w:val="center"/>
      <w:rPr>
        <w:rFonts w:eastAsia="Times New Roman" w:cs="Times New Roman"/>
        <w:color w:val="auto"/>
        <w:sz w:val="20"/>
        <w:szCs w:val="24"/>
      </w:rPr>
    </w:pPr>
  </w:p>
  <w:p w14:paraId="7E0C5D4E" w14:textId="77777777" w:rsidR="00830C73" w:rsidRPr="00BA0BD8" w:rsidRDefault="00830C73" w:rsidP="00830C73">
    <w:pPr>
      <w:spacing w:line="240" w:lineRule="auto"/>
      <w:jc w:val="center"/>
      <w:rPr>
        <w:rFonts w:eastAsia="Times New Roman" w:cs="Times New Roman"/>
        <w:color w:val="auto"/>
        <w:sz w:val="20"/>
        <w:szCs w:val="24"/>
      </w:rPr>
    </w:pPr>
    <w:r w:rsidRPr="00BA0BD8">
      <w:rPr>
        <w:rFonts w:eastAsia="Times New Roman" w:cs="Times New Roman"/>
        <w:color w:val="auto"/>
        <w:sz w:val="20"/>
        <w:szCs w:val="24"/>
      </w:rPr>
      <w:t xml:space="preserve">Page </w:t>
    </w:r>
    <w:r w:rsidRPr="00BA0BD8">
      <w:rPr>
        <w:rFonts w:eastAsia="Times New Roman" w:cs="Times New Roman"/>
        <w:b/>
        <w:bCs/>
        <w:color w:val="auto"/>
        <w:sz w:val="20"/>
        <w:szCs w:val="24"/>
      </w:rPr>
      <w:fldChar w:fldCharType="begin"/>
    </w:r>
    <w:r w:rsidRPr="00BA0BD8">
      <w:rPr>
        <w:rFonts w:eastAsia="Times New Roman" w:cs="Times New Roman"/>
        <w:b/>
        <w:bCs/>
        <w:color w:val="auto"/>
        <w:sz w:val="20"/>
        <w:szCs w:val="24"/>
      </w:rPr>
      <w:instrText xml:space="preserve"> PAGE </w:instrText>
    </w:r>
    <w:r w:rsidRPr="00BA0BD8">
      <w:rPr>
        <w:rFonts w:eastAsia="Times New Roman" w:cs="Times New Roman"/>
        <w:b/>
        <w:bCs/>
        <w:color w:val="auto"/>
        <w:sz w:val="20"/>
        <w:szCs w:val="24"/>
      </w:rPr>
      <w:fldChar w:fldCharType="separate"/>
    </w:r>
    <w:r w:rsidR="001F64BB" w:rsidRPr="00BA0BD8">
      <w:rPr>
        <w:rFonts w:eastAsia="Times New Roman" w:cs="Times New Roman"/>
        <w:b/>
        <w:bCs/>
        <w:noProof/>
        <w:color w:val="auto"/>
        <w:sz w:val="20"/>
        <w:szCs w:val="24"/>
      </w:rPr>
      <w:t>1</w:t>
    </w:r>
    <w:r w:rsidRPr="00BA0BD8">
      <w:rPr>
        <w:rFonts w:eastAsia="Times New Roman" w:cs="Times New Roman"/>
        <w:b/>
        <w:bCs/>
        <w:color w:val="auto"/>
        <w:sz w:val="20"/>
        <w:szCs w:val="24"/>
      </w:rPr>
      <w:fldChar w:fldCharType="end"/>
    </w:r>
    <w:r w:rsidRPr="00BA0BD8">
      <w:rPr>
        <w:rFonts w:eastAsia="Times New Roman" w:cs="Times New Roman"/>
        <w:color w:val="auto"/>
        <w:sz w:val="20"/>
        <w:szCs w:val="24"/>
      </w:rPr>
      <w:t xml:space="preserve"> of </w:t>
    </w:r>
    <w:r w:rsidRPr="00BA0BD8">
      <w:rPr>
        <w:rFonts w:eastAsia="Times New Roman" w:cs="Times New Roman"/>
        <w:b/>
        <w:bCs/>
        <w:color w:val="auto"/>
        <w:sz w:val="20"/>
        <w:szCs w:val="24"/>
      </w:rPr>
      <w:fldChar w:fldCharType="begin"/>
    </w:r>
    <w:r w:rsidRPr="00BA0BD8">
      <w:rPr>
        <w:rFonts w:eastAsia="Times New Roman" w:cs="Times New Roman"/>
        <w:b/>
        <w:bCs/>
        <w:color w:val="auto"/>
        <w:sz w:val="20"/>
        <w:szCs w:val="24"/>
      </w:rPr>
      <w:instrText xml:space="preserve"> NUMPAGES </w:instrText>
    </w:r>
    <w:r w:rsidRPr="00BA0BD8">
      <w:rPr>
        <w:rFonts w:eastAsia="Times New Roman" w:cs="Times New Roman"/>
        <w:b/>
        <w:bCs/>
        <w:color w:val="auto"/>
        <w:sz w:val="20"/>
        <w:szCs w:val="24"/>
      </w:rPr>
      <w:fldChar w:fldCharType="separate"/>
    </w:r>
    <w:r w:rsidR="001F64BB" w:rsidRPr="00BA0BD8">
      <w:rPr>
        <w:rFonts w:eastAsia="Times New Roman" w:cs="Times New Roman"/>
        <w:b/>
        <w:bCs/>
        <w:noProof/>
        <w:color w:val="auto"/>
        <w:sz w:val="20"/>
        <w:szCs w:val="24"/>
      </w:rPr>
      <w:t>1</w:t>
    </w:r>
    <w:r w:rsidRPr="00BA0BD8">
      <w:rPr>
        <w:rFonts w:eastAsia="Times New Roman" w:cs="Times New Roman"/>
        <w:b/>
        <w:bCs/>
        <w:color w:val="auto"/>
        <w:sz w:val="20"/>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23CA18" w14:textId="77777777" w:rsidR="007E2EC1" w:rsidRDefault="007E2E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1DD11B" w14:textId="77777777" w:rsidR="005A07B8" w:rsidRDefault="005A07B8" w:rsidP="00233128">
      <w:pPr>
        <w:spacing w:line="240" w:lineRule="auto"/>
      </w:pPr>
      <w:r>
        <w:separator/>
      </w:r>
    </w:p>
  </w:footnote>
  <w:footnote w:type="continuationSeparator" w:id="0">
    <w:p w14:paraId="050B2FD3" w14:textId="77777777" w:rsidR="005A07B8" w:rsidRDefault="005A07B8" w:rsidP="00233128">
      <w:pPr>
        <w:spacing w:line="240" w:lineRule="auto"/>
      </w:pPr>
      <w:r>
        <w:continuationSeparator/>
      </w:r>
    </w:p>
  </w:footnote>
  <w:footnote w:id="1">
    <w:p w14:paraId="13C70074" w14:textId="77777777" w:rsidR="00A6675E" w:rsidRPr="00696D96" w:rsidRDefault="00A6675E" w:rsidP="00A6675E">
      <w:pPr>
        <w:pStyle w:val="FootnoteText"/>
        <w:rPr>
          <w:color w:val="000000" w:themeColor="text1"/>
          <w:lang w:eastAsia="zh-CN"/>
        </w:rPr>
      </w:pPr>
      <w:r>
        <w:rPr>
          <w:rStyle w:val="FootnoteReference"/>
        </w:rPr>
        <w:footnoteRef/>
      </w:r>
      <w:r>
        <w:t xml:space="preserve"> </w:t>
      </w:r>
      <w:r>
        <w:rPr>
          <w:rFonts w:hint="eastAsia"/>
          <w:lang w:eastAsia="zh-CN"/>
        </w:rPr>
        <w:t xml:space="preserve">This line is modified </w:t>
      </w:r>
      <w:r w:rsidRPr="00696D96">
        <w:rPr>
          <w:rFonts w:hint="eastAsia"/>
          <w:color w:val="000000" w:themeColor="text1"/>
          <w:lang w:eastAsia="zh-CN"/>
        </w:rPr>
        <w:t xml:space="preserve">from </w:t>
      </w:r>
      <w:hyperlink r:id="rId1" w:history="1">
        <w:r w:rsidRPr="00696D96">
          <w:rPr>
            <w:rStyle w:val="Hyperlink"/>
            <w:color w:val="000000" w:themeColor="text1"/>
            <w:lang w:eastAsia="zh-CN"/>
          </w:rPr>
          <w:t>University Policy 4.14</w:t>
        </w:r>
        <w:r w:rsidRPr="00696D96">
          <w:rPr>
            <w:rStyle w:val="Hyperlink"/>
            <w:rFonts w:hint="eastAsia"/>
            <w:color w:val="000000" w:themeColor="text1"/>
            <w:lang w:eastAsia="zh-CN"/>
          </w:rPr>
          <w:t xml:space="preserve"> </w:t>
        </w:r>
        <w:r w:rsidRPr="00696D96">
          <w:rPr>
            <w:rStyle w:val="Hyperlink"/>
            <w:color w:val="000000" w:themeColor="text1"/>
            <w:lang w:eastAsia="zh-CN"/>
          </w:rPr>
          <w:t>Conflicts of Interest and Commitment (Excluding Financial Conflict of Interest Related to Research)</w:t>
        </w:r>
        <w:r w:rsidRPr="00696D96">
          <w:rPr>
            <w:rStyle w:val="Hyperlink"/>
            <w:rFonts w:hint="eastAsia"/>
            <w:color w:val="000000" w:themeColor="text1"/>
            <w:lang w:eastAsia="zh-CN"/>
          </w:rPr>
          <w:t xml:space="preserve"> Section 1.2 Conflict of Interest</w:t>
        </w:r>
      </w:hyperlink>
      <w:r w:rsidRPr="00696D96">
        <w:rPr>
          <w:rStyle w:val="Hyperlink"/>
          <w:rFonts w:hint="eastAsia"/>
          <w:color w:val="000000" w:themeColor="text1"/>
          <w:lang w:eastAsia="zh-CN"/>
        </w:rPr>
        <w:t>, on 2024 Nov 25th</w:t>
      </w:r>
      <w:r w:rsidRPr="00696D96">
        <w:rPr>
          <w:rFonts w:hint="eastAsia"/>
          <w:color w:val="000000" w:themeColor="text1"/>
          <w:lang w:eastAsia="zh-CN"/>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F43079" w14:textId="77777777" w:rsidR="007E2EC1" w:rsidRDefault="007E2E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AF6A79" w14:textId="29A843F9" w:rsidR="00D66539" w:rsidRDefault="007E2EC1">
    <w:pPr>
      <w:pStyle w:val="Header"/>
    </w:pPr>
    <w:r>
      <w:rPr>
        <w:noProof/>
      </w:rPr>
      <w:drawing>
        <wp:inline distT="0" distB="0" distL="0" distR="0" wp14:anchorId="433073E5" wp14:editId="6C82FC49">
          <wp:extent cx="781814" cy="781814"/>
          <wp:effectExtent l="0" t="0" r="0" b="0"/>
          <wp:docPr id="298753505" name="Picture 1" descr="A black logo with a shield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8753505" name="Picture 1" descr="A black logo with a shield and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81814" cy="781814"/>
                  </a:xfrm>
                  <a:prstGeom prst="rect">
                    <a:avLst/>
                  </a:prstGeom>
                </pic:spPr>
              </pic:pic>
            </a:graphicData>
          </a:graphic>
        </wp:inline>
      </w:drawing>
    </w:r>
    <w:r>
      <w:tab/>
    </w:r>
    <w:r>
      <w:tab/>
    </w:r>
    <w:r>
      <w:rPr>
        <w:noProof/>
      </w:rPr>
      <w:drawing>
        <wp:inline distT="0" distB="0" distL="0" distR="0" wp14:anchorId="4C726FEB" wp14:editId="63C8CE89">
          <wp:extent cx="2606045" cy="487681"/>
          <wp:effectExtent l="0" t="0" r="3810" b="7620"/>
          <wp:docPr id="1809142369" name="Picture 2" descr="A red rectangular object with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9142369" name="Picture 2" descr="A red rectangular object with black background&#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2606045" cy="487681"/>
                  </a:xfrm>
                  <a:prstGeom prst="rect">
                    <a:avLst/>
                  </a:prstGeom>
                </pic:spPr>
              </pic:pic>
            </a:graphicData>
          </a:graphic>
        </wp:inline>
      </w:drawing>
    </w:r>
  </w:p>
  <w:p w14:paraId="0B9483A5" w14:textId="77777777" w:rsidR="00D66539" w:rsidRDefault="00D66539">
    <w:pPr>
      <w:pStyle w:val="Header"/>
    </w:pPr>
  </w:p>
  <w:p w14:paraId="5B8B02B1" w14:textId="77777777" w:rsidR="00233128" w:rsidRDefault="0023312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68CBB7" w14:textId="77777777" w:rsidR="007E2EC1" w:rsidRDefault="007E2E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DFD212E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A122D5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974B55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E202B1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AB49F6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2B021A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E569E4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60E810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CF2CFE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A444B1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856CE2"/>
    <w:multiLevelType w:val="hybridMultilevel"/>
    <w:tmpl w:val="D06420E0"/>
    <w:lvl w:ilvl="0" w:tplc="04090013">
      <w:start w:val="1"/>
      <w:numFmt w:val="upperRoman"/>
      <w:lvlText w:val="%1."/>
      <w:lvlJc w:val="right"/>
      <w:pPr>
        <w:ind w:left="779" w:hanging="360"/>
      </w:pPr>
    </w:lvl>
    <w:lvl w:ilvl="1" w:tplc="04090019">
      <w:start w:val="1"/>
      <w:numFmt w:val="lowerLetter"/>
      <w:lvlText w:val="%2."/>
      <w:lvlJc w:val="left"/>
      <w:pPr>
        <w:ind w:left="1499" w:hanging="360"/>
      </w:pPr>
    </w:lvl>
    <w:lvl w:ilvl="2" w:tplc="0409001B">
      <w:start w:val="1"/>
      <w:numFmt w:val="lowerRoman"/>
      <w:lvlText w:val="%3."/>
      <w:lvlJc w:val="right"/>
      <w:pPr>
        <w:ind w:left="2219" w:hanging="180"/>
      </w:pPr>
    </w:lvl>
    <w:lvl w:ilvl="3" w:tplc="0409000F">
      <w:start w:val="1"/>
      <w:numFmt w:val="decimal"/>
      <w:lvlText w:val="%4."/>
      <w:lvlJc w:val="left"/>
      <w:pPr>
        <w:ind w:left="2939" w:hanging="360"/>
      </w:pPr>
    </w:lvl>
    <w:lvl w:ilvl="4" w:tplc="04090019" w:tentative="1">
      <w:start w:val="1"/>
      <w:numFmt w:val="lowerLetter"/>
      <w:lvlText w:val="%5."/>
      <w:lvlJc w:val="left"/>
      <w:pPr>
        <w:ind w:left="3659" w:hanging="360"/>
      </w:pPr>
    </w:lvl>
    <w:lvl w:ilvl="5" w:tplc="0409001B" w:tentative="1">
      <w:start w:val="1"/>
      <w:numFmt w:val="lowerRoman"/>
      <w:lvlText w:val="%6."/>
      <w:lvlJc w:val="right"/>
      <w:pPr>
        <w:ind w:left="4379" w:hanging="180"/>
      </w:pPr>
    </w:lvl>
    <w:lvl w:ilvl="6" w:tplc="0409000F" w:tentative="1">
      <w:start w:val="1"/>
      <w:numFmt w:val="decimal"/>
      <w:lvlText w:val="%7."/>
      <w:lvlJc w:val="left"/>
      <w:pPr>
        <w:ind w:left="5099" w:hanging="360"/>
      </w:pPr>
    </w:lvl>
    <w:lvl w:ilvl="7" w:tplc="04090019" w:tentative="1">
      <w:start w:val="1"/>
      <w:numFmt w:val="lowerLetter"/>
      <w:lvlText w:val="%8."/>
      <w:lvlJc w:val="left"/>
      <w:pPr>
        <w:ind w:left="5819" w:hanging="360"/>
      </w:pPr>
    </w:lvl>
    <w:lvl w:ilvl="8" w:tplc="0409001B" w:tentative="1">
      <w:start w:val="1"/>
      <w:numFmt w:val="lowerRoman"/>
      <w:lvlText w:val="%9."/>
      <w:lvlJc w:val="right"/>
      <w:pPr>
        <w:ind w:left="6539" w:hanging="180"/>
      </w:pPr>
    </w:lvl>
  </w:abstractNum>
  <w:abstractNum w:abstractNumId="11" w15:restartNumberingAfterBreak="0">
    <w:nsid w:val="50FC0F01"/>
    <w:multiLevelType w:val="multilevel"/>
    <w:tmpl w:val="569E43DA"/>
    <w:lvl w:ilvl="0">
      <w:start w:val="1"/>
      <w:numFmt w:val="none"/>
      <w:lvlText w:val="a."/>
      <w:lvlJc w:val="left"/>
      <w:pPr>
        <w:ind w:left="1008" w:hanging="360"/>
      </w:pPr>
      <w:rPr>
        <w:rFonts w:ascii="Garamond" w:eastAsia="Garamond" w:hAnsi="Garamond" w:cs="Garamond" w:hint="default"/>
      </w:rPr>
    </w:lvl>
    <w:lvl w:ilvl="1">
      <w:start w:val="1"/>
      <w:numFmt w:val="decimal"/>
      <w:lvlText w:val="(%2)"/>
      <w:lvlJc w:val="left"/>
      <w:pPr>
        <w:ind w:left="1656" w:hanging="360"/>
      </w:pPr>
      <w:rPr>
        <w:rFonts w:hint="default"/>
      </w:rPr>
    </w:lvl>
    <w:lvl w:ilvl="2">
      <w:start w:val="1"/>
      <w:numFmt w:val="lowerLetter"/>
      <w:lvlText w:val="(%3)"/>
      <w:lvlJc w:val="left"/>
      <w:pPr>
        <w:ind w:left="2304" w:hanging="360"/>
      </w:pPr>
      <w:rPr>
        <w:rFonts w:hint="default"/>
      </w:rPr>
    </w:lvl>
    <w:lvl w:ilvl="3">
      <w:start w:val="1"/>
      <w:numFmt w:val="decimal"/>
      <w:lvlText w:val="(%4)"/>
      <w:lvlJc w:val="left"/>
      <w:pPr>
        <w:ind w:left="2952"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left"/>
      <w:pPr>
        <w:ind w:left="4248" w:hanging="360"/>
      </w:pPr>
      <w:rPr>
        <w:rFonts w:hint="default"/>
      </w:rPr>
    </w:lvl>
    <w:lvl w:ilvl="6">
      <w:start w:val="1"/>
      <w:numFmt w:val="decimal"/>
      <w:lvlText w:val="%7."/>
      <w:lvlJc w:val="left"/>
      <w:pPr>
        <w:ind w:left="4896" w:hanging="360"/>
      </w:pPr>
      <w:rPr>
        <w:rFonts w:hint="default"/>
      </w:rPr>
    </w:lvl>
    <w:lvl w:ilvl="7">
      <w:start w:val="1"/>
      <w:numFmt w:val="lowerLetter"/>
      <w:lvlText w:val="%8."/>
      <w:lvlJc w:val="left"/>
      <w:pPr>
        <w:ind w:left="5544" w:hanging="360"/>
      </w:pPr>
      <w:rPr>
        <w:rFonts w:hint="default"/>
      </w:rPr>
    </w:lvl>
    <w:lvl w:ilvl="8">
      <w:start w:val="1"/>
      <w:numFmt w:val="lowerRoman"/>
      <w:lvlText w:val="%9."/>
      <w:lvlJc w:val="left"/>
      <w:pPr>
        <w:ind w:left="6192" w:hanging="360"/>
      </w:pPr>
      <w:rPr>
        <w:rFonts w:hint="default"/>
      </w:rPr>
    </w:lvl>
  </w:abstractNum>
  <w:num w:numId="1" w16cid:durableId="1756970453">
    <w:abstractNumId w:val="10"/>
  </w:num>
  <w:num w:numId="2" w16cid:durableId="1878158976">
    <w:abstractNumId w:val="0"/>
  </w:num>
  <w:num w:numId="3" w16cid:durableId="760641883">
    <w:abstractNumId w:val="1"/>
  </w:num>
  <w:num w:numId="4" w16cid:durableId="1841656104">
    <w:abstractNumId w:val="2"/>
  </w:num>
  <w:num w:numId="5" w16cid:durableId="1385182139">
    <w:abstractNumId w:val="3"/>
  </w:num>
  <w:num w:numId="6" w16cid:durableId="1281376663">
    <w:abstractNumId w:val="8"/>
  </w:num>
  <w:num w:numId="7" w16cid:durableId="451243608">
    <w:abstractNumId w:val="4"/>
  </w:num>
  <w:num w:numId="8" w16cid:durableId="895512214">
    <w:abstractNumId w:val="5"/>
  </w:num>
  <w:num w:numId="9" w16cid:durableId="1349333795">
    <w:abstractNumId w:val="6"/>
  </w:num>
  <w:num w:numId="10" w16cid:durableId="1800607287">
    <w:abstractNumId w:val="7"/>
  </w:num>
  <w:num w:numId="11" w16cid:durableId="1435977928">
    <w:abstractNumId w:val="9"/>
  </w:num>
  <w:num w:numId="12" w16cid:durableId="169110874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7421"/>
    <w:rsid w:val="00054E2E"/>
    <w:rsid w:val="00077B67"/>
    <w:rsid w:val="00090141"/>
    <w:rsid w:val="0019281B"/>
    <w:rsid w:val="001F64BB"/>
    <w:rsid w:val="002268DD"/>
    <w:rsid w:val="00233128"/>
    <w:rsid w:val="002F7A77"/>
    <w:rsid w:val="003177C9"/>
    <w:rsid w:val="0036414C"/>
    <w:rsid w:val="00444255"/>
    <w:rsid w:val="004C111F"/>
    <w:rsid w:val="005A07B8"/>
    <w:rsid w:val="005A08A0"/>
    <w:rsid w:val="005D3804"/>
    <w:rsid w:val="00681D9D"/>
    <w:rsid w:val="006B423E"/>
    <w:rsid w:val="0073319F"/>
    <w:rsid w:val="00790C45"/>
    <w:rsid w:val="007E14C8"/>
    <w:rsid w:val="007E2EC1"/>
    <w:rsid w:val="007F6996"/>
    <w:rsid w:val="00830C73"/>
    <w:rsid w:val="00857421"/>
    <w:rsid w:val="008B5BC1"/>
    <w:rsid w:val="00904813"/>
    <w:rsid w:val="009A11C0"/>
    <w:rsid w:val="009D7BC5"/>
    <w:rsid w:val="009E612F"/>
    <w:rsid w:val="00A339D1"/>
    <w:rsid w:val="00A63959"/>
    <w:rsid w:val="00A6675E"/>
    <w:rsid w:val="00AD593F"/>
    <w:rsid w:val="00B035B6"/>
    <w:rsid w:val="00B038A0"/>
    <w:rsid w:val="00B664DA"/>
    <w:rsid w:val="00B70E31"/>
    <w:rsid w:val="00BA0BD8"/>
    <w:rsid w:val="00BB4A0C"/>
    <w:rsid w:val="00C04F77"/>
    <w:rsid w:val="00C81395"/>
    <w:rsid w:val="00CC7ED8"/>
    <w:rsid w:val="00D66539"/>
    <w:rsid w:val="00DC467C"/>
    <w:rsid w:val="00E436B2"/>
    <w:rsid w:val="00E92724"/>
    <w:rsid w:val="00F15B45"/>
    <w:rsid w:val="00F8269B"/>
    <w:rsid w:val="00FF3E79"/>
    <w:rsid w:val="0CAD5879"/>
    <w:rsid w:val="2ADFF6FE"/>
    <w:rsid w:val="39F6B3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84DDC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sid w:val="00B038A0"/>
    <w:pPr>
      <w:spacing w:line="276" w:lineRule="auto"/>
    </w:pPr>
    <w:rPr>
      <w:rFonts w:ascii="Garamond" w:eastAsia="Arial" w:hAnsi="Garamond" w:cs="Arial"/>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38A0"/>
    <w:pPr>
      <w:tabs>
        <w:tab w:val="center" w:pos="4680"/>
        <w:tab w:val="right" w:pos="9360"/>
      </w:tabs>
      <w:spacing w:line="240" w:lineRule="auto"/>
    </w:pPr>
    <w:rPr>
      <w:rFonts w:eastAsiaTheme="minorHAnsi" w:cstheme="minorBidi"/>
      <w:color w:val="auto"/>
      <w:sz w:val="24"/>
      <w:szCs w:val="24"/>
    </w:rPr>
  </w:style>
  <w:style w:type="character" w:customStyle="1" w:styleId="HeaderChar">
    <w:name w:val="Header Char"/>
    <w:basedOn w:val="DefaultParagraphFont"/>
    <w:link w:val="Header"/>
    <w:uiPriority w:val="99"/>
    <w:rsid w:val="00B038A0"/>
    <w:rPr>
      <w:rFonts w:ascii="Garamond" w:hAnsi="Garamond"/>
    </w:rPr>
  </w:style>
  <w:style w:type="paragraph" w:styleId="Footer">
    <w:name w:val="footer"/>
    <w:basedOn w:val="Normal"/>
    <w:link w:val="FooterChar"/>
    <w:uiPriority w:val="99"/>
    <w:unhideWhenUsed/>
    <w:rsid w:val="00B038A0"/>
    <w:pPr>
      <w:tabs>
        <w:tab w:val="center" w:pos="4680"/>
        <w:tab w:val="right" w:pos="9360"/>
      </w:tabs>
      <w:spacing w:line="240" w:lineRule="auto"/>
    </w:pPr>
    <w:rPr>
      <w:rFonts w:eastAsiaTheme="minorHAnsi" w:cstheme="minorBidi"/>
      <w:color w:val="auto"/>
      <w:sz w:val="24"/>
      <w:szCs w:val="24"/>
    </w:rPr>
  </w:style>
  <w:style w:type="character" w:customStyle="1" w:styleId="FooterChar">
    <w:name w:val="Footer Char"/>
    <w:basedOn w:val="DefaultParagraphFont"/>
    <w:link w:val="Footer"/>
    <w:uiPriority w:val="99"/>
    <w:rsid w:val="00B038A0"/>
    <w:rPr>
      <w:rFonts w:ascii="Garamond" w:hAnsi="Garamond"/>
    </w:rPr>
  </w:style>
  <w:style w:type="paragraph" w:styleId="ListParagraph">
    <w:name w:val="List Paragraph"/>
    <w:basedOn w:val="Normal"/>
    <w:uiPriority w:val="34"/>
    <w:qFormat/>
    <w:rsid w:val="00D66539"/>
    <w:pPr>
      <w:ind w:left="720"/>
      <w:contextualSpacing/>
    </w:pPr>
  </w:style>
  <w:style w:type="character" w:styleId="LineNumber">
    <w:name w:val="line number"/>
    <w:basedOn w:val="DefaultParagraphFont"/>
    <w:uiPriority w:val="99"/>
    <w:unhideWhenUsed/>
    <w:rsid w:val="007E14C8"/>
    <w:rPr>
      <w:rFonts w:ascii="Times New Roman" w:hAnsi="Times New Roman"/>
      <w:b w:val="0"/>
      <w:i w:val="0"/>
    </w:rPr>
  </w:style>
  <w:style w:type="table" w:styleId="TableGrid">
    <w:name w:val="Table Grid"/>
    <w:basedOn w:val="TableNormal"/>
    <w:uiPriority w:val="39"/>
    <w:rsid w:val="00B038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A6675E"/>
    <w:pPr>
      <w:widowControl w:val="0"/>
      <w:autoSpaceDE w:val="0"/>
      <w:autoSpaceDN w:val="0"/>
      <w:spacing w:line="240" w:lineRule="auto"/>
    </w:pPr>
    <w:rPr>
      <w:rFonts w:eastAsia="Garamond" w:cs="Garamond"/>
      <w:color w:val="auto"/>
      <w:sz w:val="20"/>
      <w:szCs w:val="20"/>
    </w:rPr>
  </w:style>
  <w:style w:type="character" w:customStyle="1" w:styleId="FootnoteTextChar">
    <w:name w:val="Footnote Text Char"/>
    <w:basedOn w:val="DefaultParagraphFont"/>
    <w:link w:val="FootnoteText"/>
    <w:uiPriority w:val="99"/>
    <w:semiHidden/>
    <w:rsid w:val="00A6675E"/>
    <w:rPr>
      <w:rFonts w:ascii="Garamond" w:eastAsia="Garamond" w:hAnsi="Garamond" w:cs="Garamond"/>
      <w:sz w:val="20"/>
      <w:szCs w:val="20"/>
    </w:rPr>
  </w:style>
  <w:style w:type="character" w:styleId="FootnoteReference">
    <w:name w:val="footnote reference"/>
    <w:basedOn w:val="DefaultParagraphFont"/>
    <w:uiPriority w:val="99"/>
    <w:semiHidden/>
    <w:unhideWhenUsed/>
    <w:rsid w:val="00A6675E"/>
    <w:rPr>
      <w:vertAlign w:val="superscript"/>
    </w:rPr>
  </w:style>
  <w:style w:type="character" w:styleId="Hyperlink">
    <w:name w:val="Hyperlink"/>
    <w:basedOn w:val="DefaultParagraphFont"/>
    <w:uiPriority w:val="99"/>
    <w:unhideWhenUsed/>
    <w:rsid w:val="00A6675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476539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policy.cornell.edu/policy-library/conflicts-interest-and-commitment-excluding-financial-conflict-interest-related"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700</Words>
  <Characters>3990</Characters>
  <Application>Microsoft Office Word</Application>
  <DocSecurity>0</DocSecurity>
  <Lines>33</Lines>
  <Paragraphs>9</Paragraphs>
  <ScaleCrop>false</ScaleCrop>
  <Manager/>
  <Company/>
  <LinksUpToDate>false</LinksUpToDate>
  <CharactersWithSpaces>4681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Resolution Template (Aug 2021)</dc:title>
  <dc:subject/>
  <dc:creator>Wendy Treat</dc:creator>
  <cp:keywords/>
  <dc:description/>
  <cp:lastModifiedBy>Nicholas Maggard</cp:lastModifiedBy>
  <cp:revision>3</cp:revision>
  <dcterms:created xsi:type="dcterms:W3CDTF">2024-12-03T08:43:00Z</dcterms:created>
  <dcterms:modified xsi:type="dcterms:W3CDTF">2024-12-06T11:46:00Z</dcterms:modified>
  <cp:category/>
</cp:coreProperties>
</file>