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scheduled for 3/18 from 3-4pm in Rockefeller B16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Updates from last week’s meeting: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GPA Resolutions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Instant Access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MCAT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GPA Resolution Ideas: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other Ivies (Princeton)- Shreya &amp; Caitlin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GPAs required by employers- Alexis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 how to frame resolution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A+ will still be given out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Emphasize that not all professors give out A+s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 this resolution, if a student receives an A+ it would make their GPA greater than a 4.0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GPAs for graduate school/law schools- TJ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MCAT Resolution Ideas: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undergraduate biology department- Alexis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Consider costs- Caitlin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student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University- does the university get paid to be a testing center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peer institutions, especially other Ivies, to see if they all offer the same standardized tests- Amanda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what the other schools in this geographical area offer- Alexis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demand/how many students take the MCAT/GRE- Shreya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