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scheduled for Sunday, March 4th from 2:30-4pm in Rockefeller B15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Travis’s Resolution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Problem: Cornell doesn’t offer testing center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Can this go through our committee?- possibly diversity and inclusion, reach out to VP Lombardi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Find out more about which tests and offered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Cornell website- GRE (subject tests), LSAT, MPRE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MCAT or GRE (general test)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 a resolution for general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Office of Undergraduate Biology- Beth Howland, Director of Advising and Operations bah18 (Alexis)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Cost to Cornell being a testing site?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Next steps: Contact Cornell Career Services about if there is a fee for Cornell to be a testing site- Lauren O’Neil (Travis)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Opposite months of Syracuse and Binghamton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Next week, Travis will come back to start resolution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Natalia’s Resolution 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Vote on resolution 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Osai/Chris’s Resolution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Vote on resolution 7-0-1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Survey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Extend until next week- latest end of the month 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Possibly share data with deans in A&amp;S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