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25D" w:rsidRPr="00FB7098" w:rsidRDefault="007A325D" w:rsidP="007A325D">
      <w:pPr>
        <w:rPr>
          <w:rFonts w:ascii="Palatino Linotype" w:hAnsi="Palatino Linotype"/>
          <w:b/>
          <w:sz w:val="32"/>
          <w:szCs w:val="28"/>
        </w:rPr>
      </w:pPr>
      <w:r w:rsidRPr="00FB7098">
        <w:rPr>
          <w:rFonts w:ascii="Palatino Linotype" w:hAnsi="Palatino Linotype"/>
          <w:b/>
          <w:sz w:val="32"/>
          <w:szCs w:val="28"/>
        </w:rPr>
        <w:t xml:space="preserve">Statement of Policy </w:t>
      </w:r>
      <w:r w:rsidRPr="007A325D">
        <w:rPr>
          <w:rFonts w:ascii="Palatino Linotype" w:hAnsi="Palatino Linotype"/>
          <w:b/>
          <w:sz w:val="32"/>
          <w:szCs w:val="28"/>
          <w:highlight w:val="yellow"/>
        </w:rPr>
        <w:t>#</w:t>
      </w:r>
      <w:r>
        <w:rPr>
          <w:rFonts w:ascii="Palatino Linotype" w:hAnsi="Palatino Linotype"/>
          <w:b/>
          <w:sz w:val="32"/>
          <w:szCs w:val="28"/>
        </w:rPr>
        <w:t xml:space="preserve">: </w:t>
      </w:r>
      <w:r w:rsidR="00152D8C">
        <w:rPr>
          <w:rFonts w:ascii="Palatino Linotype" w:hAnsi="Palatino Linotype"/>
          <w:b/>
          <w:sz w:val="32"/>
          <w:szCs w:val="28"/>
        </w:rPr>
        <w:t>Abusive Conduct, Bullying &amp; Cyberbullying</w:t>
      </w:r>
    </w:p>
    <w:p w:rsidR="007A325D" w:rsidRPr="00E75F9A" w:rsidRDefault="007A325D" w:rsidP="007A325D">
      <w:pPr>
        <w:rPr>
          <w:rFonts w:ascii="Palatino Linotype" w:hAnsi="Palatino Linotype"/>
          <w:sz w:val="24"/>
          <w:szCs w:val="28"/>
        </w:rPr>
      </w:pPr>
      <w:r w:rsidRPr="00E75F9A">
        <w:rPr>
          <w:rFonts w:ascii="Palatino Linotype" w:hAnsi="Palatino Linotype"/>
          <w:sz w:val="24"/>
          <w:szCs w:val="28"/>
        </w:rPr>
        <w:t>Cornell University, including Weill Cornell and Cornell Tech, is committed to an inclusive, respectful</w:t>
      </w:r>
      <w:r w:rsidR="00092112">
        <w:rPr>
          <w:rFonts w:ascii="Palatino Linotype" w:hAnsi="Palatino Linotype"/>
          <w:sz w:val="24"/>
          <w:szCs w:val="28"/>
        </w:rPr>
        <w:t>,</w:t>
      </w:r>
      <w:r w:rsidRPr="00E75F9A">
        <w:rPr>
          <w:rFonts w:ascii="Palatino Linotype" w:hAnsi="Palatino Linotype"/>
          <w:sz w:val="24"/>
          <w:szCs w:val="28"/>
        </w:rPr>
        <w:t xml:space="preserve"> and safe environment and to act</w:t>
      </w:r>
      <w:r w:rsidR="00152D8C">
        <w:rPr>
          <w:rFonts w:ascii="Palatino Linotype" w:hAnsi="Palatino Linotype"/>
          <w:sz w:val="24"/>
          <w:szCs w:val="28"/>
        </w:rPr>
        <w:t>ing</w:t>
      </w:r>
      <w:r w:rsidRPr="00E75F9A">
        <w:rPr>
          <w:rFonts w:ascii="Palatino Linotype" w:hAnsi="Palatino Linotype"/>
          <w:sz w:val="24"/>
          <w:szCs w:val="28"/>
        </w:rPr>
        <w:t xml:space="preserve"> responsibly and forthrightly to maintain an environment that opens doors, open</w:t>
      </w:r>
      <w:r w:rsidR="00152D8C">
        <w:rPr>
          <w:rFonts w:ascii="Palatino Linotype" w:hAnsi="Palatino Linotype"/>
          <w:sz w:val="24"/>
          <w:szCs w:val="28"/>
        </w:rPr>
        <w:t>s</w:t>
      </w:r>
      <w:r w:rsidRPr="00E75F9A">
        <w:rPr>
          <w:rFonts w:ascii="Palatino Linotype" w:hAnsi="Palatino Linotype"/>
          <w:sz w:val="24"/>
          <w:szCs w:val="28"/>
        </w:rPr>
        <w:t xml:space="preserve"> hear</w:t>
      </w:r>
      <w:r w:rsidR="00152D8C">
        <w:rPr>
          <w:rFonts w:ascii="Palatino Linotype" w:hAnsi="Palatino Linotype"/>
          <w:sz w:val="24"/>
          <w:szCs w:val="28"/>
        </w:rPr>
        <w:t xml:space="preserve">ts, and opens minds. The university maintains high standards for behavior where every member of the community conducts themselves in a manner which demonstrates proper regard for the rights and welfare of others. </w:t>
      </w:r>
      <w:r w:rsidRPr="00E75F9A">
        <w:rPr>
          <w:rFonts w:ascii="Palatino Linotype" w:hAnsi="Palatino Linotype"/>
          <w:sz w:val="24"/>
          <w:szCs w:val="28"/>
        </w:rPr>
        <w:t xml:space="preserve">Consistent with these values, Cornell University prohibits its faculty, administrative and academic staff members, postdocs, undergraduate students, and graduate and professional students from engaging in any form of </w:t>
      </w:r>
      <w:r w:rsidR="00152D8C">
        <w:rPr>
          <w:rFonts w:ascii="Palatino Linotype" w:hAnsi="Palatino Linotype"/>
          <w:sz w:val="24"/>
          <w:szCs w:val="28"/>
        </w:rPr>
        <w:t>abusive conduct, bullying, or cyberbullying</w:t>
      </w:r>
      <w:r w:rsidRPr="00E75F9A">
        <w:rPr>
          <w:rFonts w:ascii="Palatino Linotype" w:hAnsi="Palatino Linotype"/>
          <w:sz w:val="24"/>
          <w:szCs w:val="28"/>
        </w:rPr>
        <w:t xml:space="preserve"> within the university’s jurisdiction. </w:t>
      </w:r>
    </w:p>
    <w:p w:rsidR="007A325D" w:rsidRPr="00FB7098" w:rsidRDefault="007A325D" w:rsidP="007A325D">
      <w:pPr>
        <w:rPr>
          <w:rFonts w:ascii="Palatino Linotype" w:hAnsi="Palatino Linotype"/>
          <w:b/>
          <w:sz w:val="32"/>
          <w:szCs w:val="28"/>
        </w:rPr>
      </w:pPr>
      <w:r w:rsidRPr="00FB7098">
        <w:rPr>
          <w:rFonts w:ascii="Palatino Linotype" w:hAnsi="Palatino Linotype"/>
          <w:b/>
          <w:sz w:val="32"/>
          <w:szCs w:val="28"/>
        </w:rPr>
        <w:t>Reason for Policy</w:t>
      </w:r>
    </w:p>
    <w:p w:rsidR="007A325D" w:rsidRPr="00FB7098" w:rsidRDefault="007A325D" w:rsidP="007A325D">
      <w:pPr>
        <w:rPr>
          <w:rFonts w:ascii="Palatino Linotype" w:hAnsi="Palatino Linotype"/>
          <w:sz w:val="24"/>
          <w:szCs w:val="28"/>
        </w:rPr>
      </w:pPr>
      <w:r w:rsidRPr="00FB7098">
        <w:rPr>
          <w:rFonts w:ascii="Palatino Linotype" w:hAnsi="Palatino Linotype"/>
          <w:sz w:val="24"/>
          <w:szCs w:val="28"/>
        </w:rPr>
        <w:t xml:space="preserve">The university’s goal of a diverse and inclusive environment includes a commitment to maintain a university environment that is safe and free of </w:t>
      </w:r>
      <w:r w:rsidR="00005DE3">
        <w:rPr>
          <w:rFonts w:ascii="Palatino Linotype" w:hAnsi="Palatino Linotype"/>
          <w:sz w:val="24"/>
          <w:szCs w:val="28"/>
        </w:rPr>
        <w:t>abusive conduct, bullying, and cyberbullying. This policy is not intended to and will not be applied in a manner that would violate rights to academic freedom and freedom of expression, nor will it be interpreted in a way that undermines a supervisor’s authority to appropriately manage their work unit. This policy reserves to the university, in furtherance of its educational mission, the right to address conduct that would not necessarily be unlawful. It is not intended to create individual or group rights, whether contractual or otherwise, that do not exist under existing law or other applicable university policy.</w:t>
      </w:r>
    </w:p>
    <w:p w:rsidR="007A325D" w:rsidRPr="00FB7098" w:rsidRDefault="007A325D" w:rsidP="007A325D">
      <w:pPr>
        <w:rPr>
          <w:rFonts w:ascii="Palatino Linotype" w:hAnsi="Palatino Linotype"/>
          <w:b/>
          <w:sz w:val="32"/>
          <w:szCs w:val="28"/>
        </w:rPr>
      </w:pPr>
      <w:r w:rsidRPr="00FB7098">
        <w:rPr>
          <w:rFonts w:ascii="Palatino Linotype" w:hAnsi="Palatino Linotype"/>
          <w:b/>
          <w:sz w:val="32"/>
          <w:szCs w:val="28"/>
        </w:rPr>
        <w:t xml:space="preserve">Entities Affected by This Policy </w:t>
      </w:r>
    </w:p>
    <w:p w:rsidR="007A325D" w:rsidRPr="00FB7098" w:rsidRDefault="007A325D" w:rsidP="007A325D">
      <w:pPr>
        <w:rPr>
          <w:rFonts w:ascii="Palatino Linotype" w:hAnsi="Palatino Linotype"/>
          <w:sz w:val="24"/>
          <w:szCs w:val="28"/>
        </w:rPr>
      </w:pPr>
      <w:r w:rsidRPr="00FB7098">
        <w:rPr>
          <w:rFonts w:ascii="Palatino Linotype" w:hAnsi="Palatino Linotype"/>
          <w:sz w:val="24"/>
          <w:szCs w:val="28"/>
        </w:rPr>
        <w:t xml:space="preserve">All units of the university. Weill Cornell </w:t>
      </w:r>
      <w:r w:rsidR="00006DE2" w:rsidRPr="00FB7098">
        <w:rPr>
          <w:rFonts w:ascii="Palatino Linotype" w:hAnsi="Palatino Linotype"/>
          <w:sz w:val="24"/>
          <w:szCs w:val="28"/>
        </w:rPr>
        <w:t>Medic</w:t>
      </w:r>
      <w:r w:rsidR="00006DE2">
        <w:rPr>
          <w:rFonts w:ascii="Palatino Linotype" w:hAnsi="Palatino Linotype"/>
          <w:sz w:val="24"/>
          <w:szCs w:val="28"/>
        </w:rPr>
        <w:t xml:space="preserve">ine </w:t>
      </w:r>
      <w:r w:rsidRPr="00FB7098">
        <w:rPr>
          <w:rFonts w:ascii="Palatino Linotype" w:hAnsi="Palatino Linotype"/>
          <w:sz w:val="24"/>
          <w:szCs w:val="28"/>
        </w:rPr>
        <w:t xml:space="preserve">and </w:t>
      </w:r>
      <w:r w:rsidR="00006DE2">
        <w:rPr>
          <w:rFonts w:ascii="Palatino Linotype" w:hAnsi="Palatino Linotype"/>
          <w:sz w:val="24"/>
          <w:szCs w:val="28"/>
        </w:rPr>
        <w:t xml:space="preserve">Weill </w:t>
      </w:r>
      <w:r w:rsidRPr="00FB7098">
        <w:rPr>
          <w:rFonts w:ascii="Palatino Linotype" w:hAnsi="Palatino Linotype"/>
          <w:sz w:val="24"/>
          <w:szCs w:val="28"/>
        </w:rPr>
        <w:t>Graduate School of Medical Sciences will administer this policy under Weill Cornell procedures.</w:t>
      </w:r>
    </w:p>
    <w:p w:rsidR="007A325D" w:rsidRPr="00FB7098" w:rsidRDefault="007A325D" w:rsidP="007A325D">
      <w:pPr>
        <w:rPr>
          <w:rFonts w:ascii="Palatino Linotype" w:hAnsi="Palatino Linotype"/>
          <w:b/>
          <w:sz w:val="32"/>
          <w:szCs w:val="28"/>
        </w:rPr>
      </w:pPr>
      <w:r w:rsidRPr="00FB7098">
        <w:rPr>
          <w:rFonts w:ascii="Palatino Linotype" w:hAnsi="Palatino Linotype"/>
          <w:b/>
          <w:sz w:val="32"/>
          <w:szCs w:val="28"/>
        </w:rPr>
        <w:t>Principles</w:t>
      </w:r>
    </w:p>
    <w:p w:rsidR="007A325D" w:rsidRPr="00FB7098" w:rsidRDefault="007A325D" w:rsidP="007A325D">
      <w:pPr>
        <w:rPr>
          <w:rFonts w:ascii="Palatino Linotype" w:hAnsi="Palatino Linotype"/>
          <w:b/>
          <w:sz w:val="24"/>
          <w:szCs w:val="28"/>
        </w:rPr>
      </w:pPr>
      <w:r w:rsidRPr="00FB7098">
        <w:rPr>
          <w:rFonts w:ascii="Palatino Linotype" w:hAnsi="Palatino Linotype"/>
          <w:b/>
          <w:sz w:val="24"/>
          <w:szCs w:val="28"/>
        </w:rPr>
        <w:t>Conduct Covered Under This Policy</w:t>
      </w:r>
    </w:p>
    <w:p w:rsidR="007A325D" w:rsidRPr="00FB7098" w:rsidRDefault="007A325D" w:rsidP="0052090F">
      <w:pPr>
        <w:ind w:left="720"/>
        <w:rPr>
          <w:rFonts w:ascii="Palatino Linotype" w:hAnsi="Palatino Linotype"/>
          <w:sz w:val="24"/>
          <w:szCs w:val="28"/>
        </w:rPr>
      </w:pPr>
      <w:r w:rsidRPr="0052090F">
        <w:rPr>
          <w:rFonts w:ascii="Palatino Linotype" w:hAnsi="Palatino Linotype"/>
          <w:b/>
          <w:sz w:val="24"/>
          <w:szCs w:val="28"/>
        </w:rPr>
        <w:t>Abusive Conduct</w:t>
      </w:r>
      <w:r w:rsidR="0052090F" w:rsidRPr="0052090F">
        <w:rPr>
          <w:rFonts w:ascii="Palatino Linotype" w:hAnsi="Palatino Linotype"/>
          <w:b/>
          <w:sz w:val="24"/>
          <w:szCs w:val="28"/>
        </w:rPr>
        <w:t>:</w:t>
      </w:r>
      <w:r w:rsidR="0052090F">
        <w:rPr>
          <w:rFonts w:ascii="Palatino Linotype" w:hAnsi="Palatino Linotype"/>
          <w:sz w:val="24"/>
          <w:szCs w:val="28"/>
        </w:rPr>
        <w:t xml:space="preserve"> Acts, omissions, or both, that a reasonable person would find abusive, based on the severity, nature, and frequency of the conduct, including, but not limited to: repeated verbal abuse such as the use of derogatory remarks, insults, and epithets; verbal, non-verbal, or physical conduct of a threatening, </w:t>
      </w:r>
      <w:r w:rsidR="0052090F">
        <w:rPr>
          <w:rFonts w:ascii="Palatino Linotype" w:hAnsi="Palatino Linotype"/>
          <w:sz w:val="24"/>
          <w:szCs w:val="28"/>
        </w:rPr>
        <w:lastRenderedPageBreak/>
        <w:t>intimidating, or humiliating nature; or the sabotage or undermining of an individual’s work of academic performance.</w:t>
      </w:r>
    </w:p>
    <w:p w:rsidR="007A325D" w:rsidRPr="00FB7098" w:rsidRDefault="0052090F" w:rsidP="00AC58C3">
      <w:pPr>
        <w:ind w:left="720"/>
        <w:rPr>
          <w:rFonts w:ascii="Palatino Linotype" w:hAnsi="Palatino Linotype"/>
          <w:sz w:val="24"/>
          <w:szCs w:val="28"/>
        </w:rPr>
      </w:pPr>
      <w:r w:rsidRPr="00AC58C3">
        <w:rPr>
          <w:rFonts w:ascii="Palatino Linotype" w:hAnsi="Palatino Linotype"/>
          <w:b/>
          <w:sz w:val="24"/>
          <w:szCs w:val="28"/>
        </w:rPr>
        <w:t>Bullying:</w:t>
      </w:r>
      <w:r>
        <w:rPr>
          <w:rFonts w:ascii="Palatino Linotype" w:hAnsi="Palatino Linotype"/>
          <w:sz w:val="24"/>
          <w:szCs w:val="28"/>
        </w:rPr>
        <w:t xml:space="preserve"> </w:t>
      </w:r>
      <w:r w:rsidR="00AC58C3">
        <w:rPr>
          <w:rFonts w:ascii="Palatino Linotype" w:hAnsi="Palatino Linotype"/>
          <w:sz w:val="24"/>
          <w:szCs w:val="28"/>
        </w:rPr>
        <w:t>The unwanted abuse of any source of power that has the effect of or intent to intimidate, control, or otherwise strip a target of their right to esteem, growth, dignity, voice, or other rights afforded in the academic or workplace environment, regardless of protected-status.</w:t>
      </w:r>
    </w:p>
    <w:p w:rsidR="007A325D" w:rsidRPr="00FB7098" w:rsidRDefault="0052090F" w:rsidP="00E974EB">
      <w:pPr>
        <w:ind w:left="720"/>
        <w:rPr>
          <w:rFonts w:ascii="Palatino Linotype" w:hAnsi="Palatino Linotype"/>
          <w:sz w:val="24"/>
          <w:szCs w:val="28"/>
        </w:rPr>
      </w:pPr>
      <w:r w:rsidRPr="00E974EB">
        <w:rPr>
          <w:rFonts w:ascii="Palatino Linotype" w:hAnsi="Palatino Linotype"/>
          <w:b/>
          <w:sz w:val="24"/>
          <w:szCs w:val="28"/>
        </w:rPr>
        <w:t>Cyberbullying:</w:t>
      </w:r>
      <w:r>
        <w:rPr>
          <w:rFonts w:ascii="Palatino Linotype" w:hAnsi="Palatino Linotype"/>
          <w:sz w:val="24"/>
          <w:szCs w:val="28"/>
        </w:rPr>
        <w:t xml:space="preserve"> </w:t>
      </w:r>
      <w:r w:rsidR="00E974EB">
        <w:rPr>
          <w:rFonts w:ascii="Palatino Linotype" w:hAnsi="Palatino Linotype"/>
          <w:sz w:val="24"/>
          <w:szCs w:val="28"/>
        </w:rPr>
        <w:t xml:space="preserve">Bullying </w:t>
      </w:r>
      <w:r w:rsidR="00456863">
        <w:rPr>
          <w:rFonts w:ascii="Palatino Linotype" w:hAnsi="Palatino Linotype"/>
          <w:sz w:val="24"/>
          <w:szCs w:val="28"/>
        </w:rPr>
        <w:t xml:space="preserve">or abusive conduct </w:t>
      </w:r>
      <w:bookmarkStart w:id="0" w:name="_GoBack"/>
      <w:bookmarkEnd w:id="0"/>
      <w:r w:rsidR="00E974EB">
        <w:rPr>
          <w:rFonts w:ascii="Palatino Linotype" w:hAnsi="Palatino Linotype"/>
          <w:sz w:val="24"/>
          <w:szCs w:val="28"/>
        </w:rPr>
        <w:t xml:space="preserve">aided by means including, but not limited to, </w:t>
      </w:r>
      <w:r w:rsidR="00AC58C3">
        <w:rPr>
          <w:rFonts w:ascii="Palatino Linotype" w:hAnsi="Palatino Linotype"/>
          <w:sz w:val="24"/>
          <w:szCs w:val="28"/>
        </w:rPr>
        <w:t>mail, email, text message, phone, voicemail, the Internet, social media,</w:t>
      </w:r>
      <w:r w:rsidR="00E974EB">
        <w:rPr>
          <w:rFonts w:ascii="Palatino Linotype" w:hAnsi="Palatino Linotype"/>
          <w:sz w:val="24"/>
          <w:szCs w:val="28"/>
        </w:rPr>
        <w:t xml:space="preserve"> or</w:t>
      </w:r>
      <w:r w:rsidR="00AC58C3">
        <w:rPr>
          <w:rFonts w:ascii="Palatino Linotype" w:hAnsi="Palatino Linotype"/>
          <w:sz w:val="24"/>
          <w:szCs w:val="28"/>
        </w:rPr>
        <w:t xml:space="preserve"> interactive and digital technologies</w:t>
      </w:r>
      <w:r w:rsidR="00E974EB">
        <w:rPr>
          <w:rFonts w:ascii="Palatino Linotype" w:hAnsi="Palatino Linotype"/>
          <w:sz w:val="24"/>
          <w:szCs w:val="28"/>
        </w:rPr>
        <w:t>.</w:t>
      </w:r>
    </w:p>
    <w:p w:rsidR="007A325D" w:rsidRPr="00FB7098" w:rsidRDefault="007A325D" w:rsidP="007A325D">
      <w:pPr>
        <w:rPr>
          <w:rFonts w:ascii="Palatino Linotype" w:hAnsi="Palatino Linotype"/>
          <w:b/>
          <w:sz w:val="24"/>
          <w:szCs w:val="28"/>
        </w:rPr>
      </w:pPr>
      <w:r w:rsidRPr="00FB7098">
        <w:rPr>
          <w:rFonts w:ascii="Palatino Linotype" w:hAnsi="Palatino Linotype"/>
          <w:b/>
          <w:sz w:val="24"/>
          <w:szCs w:val="28"/>
        </w:rPr>
        <w:t>Conduct Not Covered By This Policy</w:t>
      </w:r>
    </w:p>
    <w:p w:rsidR="007A325D" w:rsidRPr="00FB7098" w:rsidRDefault="007A325D" w:rsidP="007A325D">
      <w:pPr>
        <w:rPr>
          <w:rFonts w:ascii="Palatino Linotype" w:hAnsi="Palatino Linotype"/>
          <w:sz w:val="24"/>
          <w:szCs w:val="28"/>
        </w:rPr>
      </w:pPr>
      <w:r w:rsidRPr="00FB7098">
        <w:rPr>
          <w:rFonts w:ascii="Palatino Linotype" w:hAnsi="Palatino Linotype"/>
          <w:sz w:val="24"/>
          <w:szCs w:val="28"/>
        </w:rPr>
        <w:t xml:space="preserve">Complaints against alumni, visitors, or those not part of the Cornell community are not covered under this policy, but should be directed to the Cornell University Police Department (CUPD), the complainant’s supervisor or local human resources (HR) representative, or the Office of Workforce Policy and Labor Relations (WPLR) for appropriate university response. Complaints regarding inappropriate workplace conduct that is not covered by this policy are considered general employee relations concerns and should be directed to the supervisor, local HR representative or the central Division of Human Resources. </w:t>
      </w:r>
      <w:r w:rsidR="009E3697">
        <w:rPr>
          <w:rFonts w:ascii="Palatino Linotype" w:hAnsi="Palatino Linotype"/>
          <w:sz w:val="24"/>
          <w:szCs w:val="28"/>
        </w:rPr>
        <w:t xml:space="preserve">Complaints of misconduct on the basis of a protected-status are governed by the university’s policy 6.4: </w:t>
      </w:r>
      <w:r w:rsidR="009E3697">
        <w:rPr>
          <w:rFonts w:ascii="Palatino Linotype" w:hAnsi="Palatino Linotype"/>
          <w:i/>
          <w:sz w:val="24"/>
          <w:szCs w:val="28"/>
        </w:rPr>
        <w:t xml:space="preserve">Prohibited Discrimination, Protected-Status Harassment, Sexual Harassment, and Sexual Assault &amp; Violence. </w:t>
      </w:r>
      <w:r w:rsidRPr="00FB7098">
        <w:rPr>
          <w:rFonts w:ascii="Palatino Linotype" w:hAnsi="Palatino Linotype"/>
          <w:sz w:val="24"/>
          <w:szCs w:val="28"/>
        </w:rPr>
        <w:t>Complaints by faculty of unlawful discrimination in reappointment, promotion, and tenure are governed by appeal procedures set out in the Faculty Handbook. Complaints alleging misconduct by students that is not covered by this policy are governed by the Campus Code of Conduct and should be directed to the CUPD or the Office of the Judicial Administrator (JA).</w:t>
      </w:r>
    </w:p>
    <w:p w:rsidR="007A325D" w:rsidRPr="00FB7098" w:rsidRDefault="007A325D" w:rsidP="007A325D">
      <w:pPr>
        <w:rPr>
          <w:rFonts w:ascii="Palatino Linotype" w:hAnsi="Palatino Linotype"/>
          <w:b/>
          <w:sz w:val="24"/>
          <w:szCs w:val="28"/>
        </w:rPr>
      </w:pPr>
      <w:r w:rsidRPr="00FB7098">
        <w:rPr>
          <w:rFonts w:ascii="Palatino Linotype" w:hAnsi="Palatino Linotype"/>
          <w:b/>
          <w:sz w:val="24"/>
          <w:szCs w:val="28"/>
        </w:rPr>
        <w:t>Confidentiality</w:t>
      </w:r>
    </w:p>
    <w:p w:rsidR="007A325D" w:rsidRDefault="007A325D" w:rsidP="007A325D">
      <w:pPr>
        <w:rPr>
          <w:rFonts w:ascii="Palatino Linotype" w:hAnsi="Palatino Linotype"/>
          <w:sz w:val="24"/>
          <w:szCs w:val="28"/>
        </w:rPr>
      </w:pPr>
      <w:r w:rsidRPr="00FB7098">
        <w:rPr>
          <w:rFonts w:ascii="Palatino Linotype" w:hAnsi="Palatino Linotype"/>
          <w:sz w:val="24"/>
          <w:szCs w:val="28"/>
        </w:rPr>
        <w:t xml:space="preserve">In order to permit the university to conduct a fair and thorough investigation </w:t>
      </w:r>
      <w:r w:rsidR="00DA4D8A">
        <w:rPr>
          <w:rFonts w:ascii="Palatino Linotype" w:hAnsi="Palatino Linotype"/>
          <w:sz w:val="24"/>
          <w:szCs w:val="28"/>
        </w:rPr>
        <w:t>under this policy, it recognizes</w:t>
      </w:r>
      <w:r w:rsidRPr="00FB7098">
        <w:rPr>
          <w:rFonts w:ascii="Palatino Linotype" w:hAnsi="Palatino Linotype"/>
          <w:sz w:val="24"/>
          <w:szCs w:val="28"/>
        </w:rPr>
        <w:t xml:space="preserve"> that participants in the process should be protected from unreasonable or undue publicity concerning information they reveal during the investigation. Accordingly, no one participating in the procedures </w:t>
      </w:r>
      <w:r w:rsidR="00DA4D8A">
        <w:rPr>
          <w:rFonts w:ascii="Palatino Linotype" w:hAnsi="Palatino Linotype"/>
          <w:sz w:val="24"/>
          <w:szCs w:val="28"/>
        </w:rPr>
        <w:t>associated with</w:t>
      </w:r>
      <w:r w:rsidRPr="00FB7098">
        <w:rPr>
          <w:rFonts w:ascii="Palatino Linotype" w:hAnsi="Palatino Linotype"/>
          <w:sz w:val="24"/>
          <w:szCs w:val="28"/>
        </w:rPr>
        <w:t xml:space="preserve"> this policy may reveal any information learned in the course of so doing. WPLR, the JA, and, when a faculty member is involved, the Committee on Academic Freedom and Professional Status of the Faculty will underscore the importance of confidentiality in meetings with parties and witnesses. The university will take reasonable measures to </w:t>
      </w:r>
      <w:r w:rsidRPr="00FB7098">
        <w:rPr>
          <w:rFonts w:ascii="Palatino Linotype" w:hAnsi="Palatino Linotype"/>
          <w:sz w:val="24"/>
          <w:szCs w:val="28"/>
        </w:rPr>
        <w:lastRenderedPageBreak/>
        <w:t xml:space="preserve">protect the confidentiality of the testimony and records produced in the procedures </w:t>
      </w:r>
      <w:r w:rsidR="00DA4D8A">
        <w:rPr>
          <w:rFonts w:ascii="Palatino Linotype" w:hAnsi="Palatino Linotype"/>
          <w:sz w:val="24"/>
          <w:szCs w:val="28"/>
        </w:rPr>
        <w:t>associated with</w:t>
      </w:r>
      <w:r w:rsidRPr="00FB7098">
        <w:rPr>
          <w:rFonts w:ascii="Palatino Linotype" w:hAnsi="Palatino Linotype"/>
          <w:sz w:val="24"/>
          <w:szCs w:val="28"/>
        </w:rPr>
        <w:t xml:space="preserve"> this policy. However, the university cannot and does not guarantee that confidentiality will be maintained. Confidentiality does not mean that the details of the complaint will be withheld from the accused, or that the university is constrained from divulging the proceedings in appropriate circumstances</w:t>
      </w:r>
      <w:r w:rsidR="00DA4D8A">
        <w:rPr>
          <w:rFonts w:ascii="Palatino Linotype" w:hAnsi="Palatino Linotype"/>
          <w:sz w:val="24"/>
          <w:szCs w:val="28"/>
        </w:rPr>
        <w:t>.</w:t>
      </w:r>
      <w:r w:rsidRPr="00FB7098">
        <w:rPr>
          <w:rFonts w:ascii="Palatino Linotype" w:hAnsi="Palatino Linotype"/>
          <w:sz w:val="24"/>
          <w:szCs w:val="28"/>
        </w:rPr>
        <w:t xml:space="preserve"> For example, the university may publicly divulge details of the outcome if one of the parties discloses selective or self-serving portions of the proceedings, or when a lawsuit emerges where the complaining or accused contests the findings or results of the university's investigation.</w:t>
      </w:r>
    </w:p>
    <w:p w:rsidR="00C06079" w:rsidRDefault="00C06079" w:rsidP="007A325D">
      <w:pPr>
        <w:rPr>
          <w:rFonts w:ascii="Palatino Linotype" w:hAnsi="Palatino Linotype"/>
          <w:sz w:val="24"/>
          <w:szCs w:val="28"/>
        </w:rPr>
      </w:pPr>
      <w:r>
        <w:rPr>
          <w:rFonts w:ascii="Palatino Linotype" w:hAnsi="Palatino Linotype"/>
          <w:b/>
          <w:sz w:val="24"/>
          <w:szCs w:val="28"/>
        </w:rPr>
        <w:t>Frequency &amp; Intent</w:t>
      </w:r>
    </w:p>
    <w:p w:rsidR="00C06079" w:rsidRPr="00C06079" w:rsidRDefault="00FA1342" w:rsidP="007A325D">
      <w:pPr>
        <w:rPr>
          <w:rFonts w:ascii="Palatino Linotype" w:hAnsi="Palatino Linotype"/>
          <w:sz w:val="24"/>
          <w:szCs w:val="28"/>
        </w:rPr>
      </w:pPr>
      <w:r>
        <w:rPr>
          <w:rFonts w:ascii="Palatino Linotype" w:hAnsi="Palatino Linotype"/>
          <w:sz w:val="24"/>
          <w:szCs w:val="28"/>
        </w:rPr>
        <w:t>Under this policy</w:t>
      </w:r>
      <w:r w:rsidR="00DA4D8A">
        <w:rPr>
          <w:rFonts w:ascii="Palatino Linotype" w:hAnsi="Palatino Linotype"/>
          <w:sz w:val="24"/>
          <w:szCs w:val="28"/>
        </w:rPr>
        <w:t>,</w:t>
      </w:r>
      <w:r>
        <w:rPr>
          <w:rFonts w:ascii="Palatino Linotype" w:hAnsi="Palatino Linotype"/>
          <w:sz w:val="24"/>
          <w:szCs w:val="28"/>
        </w:rPr>
        <w:t xml:space="preserve"> and unlike harassment, </w:t>
      </w:r>
      <w:r w:rsidR="00D14307">
        <w:rPr>
          <w:rFonts w:ascii="Palatino Linotype" w:hAnsi="Palatino Linotype"/>
          <w:sz w:val="24"/>
          <w:szCs w:val="28"/>
        </w:rPr>
        <w:t>an allegation of bullying need not be shown to be severe and pervasive or repeated. While the determination of whether or not bullying has occurred may be influenced by the repetitive nature of an event, singular events may also have the effect of violating an individual’s right to a respectful academic or workplace environment.</w:t>
      </w:r>
      <w:r>
        <w:rPr>
          <w:rFonts w:ascii="Palatino Linotype" w:hAnsi="Palatino Linotype"/>
          <w:sz w:val="24"/>
          <w:szCs w:val="28"/>
        </w:rPr>
        <w:t xml:space="preserve"> </w:t>
      </w:r>
      <w:r w:rsidR="00C06079">
        <w:rPr>
          <w:rFonts w:ascii="Palatino Linotype" w:hAnsi="Palatino Linotype"/>
          <w:sz w:val="24"/>
          <w:szCs w:val="28"/>
        </w:rPr>
        <w:t xml:space="preserve">Bullying may be intentional or unintentional. However, it must be noted that where an allegation of bullying is made, the intention of the alleged </w:t>
      </w:r>
      <w:r>
        <w:rPr>
          <w:rFonts w:ascii="Palatino Linotype" w:hAnsi="Palatino Linotype"/>
          <w:sz w:val="24"/>
          <w:szCs w:val="28"/>
        </w:rPr>
        <w:t>bully is irrelevant, and will not be given consideration when determining whether or not a violation of this policy has occurred. It is the effect or impact of the behavior upon the individual that will be considered. Intent, however, may be considered when determining appropriate disciplinary action or remedy.</w:t>
      </w:r>
    </w:p>
    <w:p w:rsidR="007A325D" w:rsidRDefault="007A325D" w:rsidP="007A325D">
      <w:pPr>
        <w:rPr>
          <w:rFonts w:ascii="Palatino Linotype" w:hAnsi="Palatino Linotype"/>
          <w:sz w:val="24"/>
          <w:szCs w:val="28"/>
        </w:rPr>
      </w:pPr>
      <w:r>
        <w:rPr>
          <w:rFonts w:ascii="Palatino Linotype" w:hAnsi="Palatino Linotype"/>
          <w:b/>
          <w:sz w:val="24"/>
          <w:szCs w:val="28"/>
        </w:rPr>
        <w:t>Retaliation &amp; Bad-Faith Complaints</w:t>
      </w:r>
    </w:p>
    <w:p w:rsidR="007A325D" w:rsidRPr="0052090F" w:rsidRDefault="007A325D" w:rsidP="007A325D">
      <w:pPr>
        <w:rPr>
          <w:rFonts w:ascii="Palatino Linotype" w:hAnsi="Palatino Linotype"/>
          <w:sz w:val="24"/>
          <w:szCs w:val="28"/>
        </w:rPr>
        <w:sectPr w:rsidR="007A325D" w:rsidRPr="005209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FB7098">
        <w:rPr>
          <w:rFonts w:ascii="Palatino Linotype" w:hAnsi="Palatino Linotype"/>
          <w:sz w:val="24"/>
          <w:szCs w:val="28"/>
        </w:rPr>
        <w:t xml:space="preserve">Local, state, and federal laws and this policy prohibit any form of retaliation against a person who files or bears witness to a </w:t>
      </w:r>
      <w:r w:rsidR="00DA4D8A">
        <w:rPr>
          <w:rFonts w:ascii="Palatino Linotype" w:hAnsi="Palatino Linotype"/>
          <w:sz w:val="24"/>
          <w:szCs w:val="28"/>
        </w:rPr>
        <w:t>conduct in violation of this policy</w:t>
      </w:r>
      <w:r w:rsidRPr="00FB7098">
        <w:rPr>
          <w:rFonts w:ascii="Palatino Linotype" w:hAnsi="Palatino Linotype"/>
          <w:sz w:val="24"/>
          <w:szCs w:val="28"/>
        </w:rPr>
        <w:t>. Violation of this prohibition may result in disciplinary action. At the same time, as with any complaint brought in bad faith, an individual who is aggrieved because a complaint was malicious, knowingly false, or fundamentally frivolous, may invoke any applicable disciplinary or grievance procedure that may result in disciplinary action against the party that brings such a complaint.</w:t>
      </w:r>
    </w:p>
    <w:p w:rsidR="007A325D" w:rsidRPr="00FB7098" w:rsidRDefault="007A325D" w:rsidP="007A325D">
      <w:pPr>
        <w:rPr>
          <w:rFonts w:ascii="Palatino Linotype" w:hAnsi="Palatino Linotype"/>
          <w:b/>
          <w:sz w:val="32"/>
          <w:szCs w:val="28"/>
        </w:rPr>
      </w:pPr>
      <w:r w:rsidRPr="00FB7098">
        <w:rPr>
          <w:rFonts w:ascii="Palatino Linotype" w:hAnsi="Palatino Linotype"/>
          <w:b/>
          <w:sz w:val="32"/>
          <w:szCs w:val="28"/>
        </w:rPr>
        <w:lastRenderedPageBreak/>
        <w:t>Applicable Procedures under This Policy</w:t>
      </w:r>
    </w:p>
    <w:p w:rsidR="007A325D" w:rsidRPr="00B614AE" w:rsidRDefault="007A325D" w:rsidP="007A325D">
      <w:pPr>
        <w:rPr>
          <w:rFonts w:ascii="Palatino Linotype" w:hAnsi="Palatino Linotype"/>
          <w:sz w:val="24"/>
          <w:szCs w:val="28"/>
        </w:rPr>
      </w:pPr>
      <w:r w:rsidRPr="00B614AE">
        <w:rPr>
          <w:rFonts w:ascii="Palatino Linotype" w:hAnsi="Palatino Linotype"/>
          <w:sz w:val="24"/>
          <w:szCs w:val="28"/>
        </w:rPr>
        <w:t xml:space="preserve">The specific procedure or process for reporting, investigating and resolving </w:t>
      </w:r>
      <w:r w:rsidR="00DF1B73">
        <w:rPr>
          <w:rFonts w:ascii="Palatino Linotype" w:hAnsi="Palatino Linotype"/>
          <w:sz w:val="24"/>
          <w:szCs w:val="28"/>
        </w:rPr>
        <w:t xml:space="preserve">complaints under this policy </w:t>
      </w:r>
      <w:r w:rsidRPr="00B614AE">
        <w:rPr>
          <w:rFonts w:ascii="Palatino Linotype" w:hAnsi="Palatino Linotype"/>
          <w:sz w:val="24"/>
          <w:szCs w:val="28"/>
        </w:rPr>
        <w:t>depends on the nature of the respondent’s relationship to the university (student, faculty, staff, or third party). Each set of procedures, referenced below, is guided by the same set of principles identified above and the same principles of fairness and respect for all parties involved. “Complainant” means the student, employee or third party who presents as the victim or recipient of the behavior under this policy.  “Respondent” means the student, employee or third party who has been accused of violating the policy.</w:t>
      </w:r>
    </w:p>
    <w:p w:rsidR="007A325D" w:rsidRPr="00DF1B73" w:rsidRDefault="007A325D" w:rsidP="007A325D">
      <w:pPr>
        <w:rPr>
          <w:rFonts w:ascii="Palatino Linotype" w:hAnsi="Palatino Linotype"/>
          <w:i/>
          <w:sz w:val="24"/>
          <w:szCs w:val="28"/>
        </w:rPr>
      </w:pPr>
      <w:r w:rsidRPr="00DF1B73">
        <w:rPr>
          <w:rFonts w:ascii="Palatino Linotype" w:hAnsi="Palatino Linotype"/>
          <w:i/>
          <w:sz w:val="24"/>
          <w:szCs w:val="28"/>
        </w:rPr>
        <w:t>Click on any of the following to view the applicable procedures:</w:t>
      </w:r>
    </w:p>
    <w:p w:rsidR="007A325D" w:rsidRPr="00B614AE" w:rsidRDefault="007A325D" w:rsidP="007A325D">
      <w:pPr>
        <w:rPr>
          <w:rFonts w:ascii="Palatino Linotype" w:hAnsi="Palatino Linotype"/>
          <w:sz w:val="24"/>
          <w:szCs w:val="28"/>
        </w:rPr>
      </w:pPr>
      <w:r w:rsidRPr="00B614AE">
        <w:rPr>
          <w:rFonts w:ascii="Palatino Linotype" w:hAnsi="Palatino Linotype"/>
          <w:sz w:val="24"/>
          <w:szCs w:val="28"/>
        </w:rPr>
        <w:t>Complainant/Respondent</w:t>
      </w:r>
    </w:p>
    <w:p w:rsidR="007A325D" w:rsidRPr="00B614AE" w:rsidRDefault="007A325D" w:rsidP="007A325D">
      <w:pPr>
        <w:pStyle w:val="ListParagraph"/>
        <w:numPr>
          <w:ilvl w:val="0"/>
          <w:numId w:val="3"/>
        </w:numPr>
        <w:rPr>
          <w:rFonts w:ascii="Palatino Linotype" w:hAnsi="Palatino Linotype"/>
          <w:sz w:val="24"/>
          <w:szCs w:val="28"/>
        </w:rPr>
      </w:pPr>
      <w:r w:rsidRPr="00B614AE">
        <w:rPr>
          <w:rFonts w:ascii="Palatino Linotype" w:hAnsi="Palatino Linotype"/>
          <w:sz w:val="24"/>
          <w:szCs w:val="28"/>
        </w:rPr>
        <w:t>Student/Student</w:t>
      </w:r>
    </w:p>
    <w:p w:rsidR="007A325D" w:rsidRPr="00B614AE" w:rsidRDefault="007A325D" w:rsidP="007A325D">
      <w:pPr>
        <w:pStyle w:val="ListParagraph"/>
        <w:numPr>
          <w:ilvl w:val="0"/>
          <w:numId w:val="3"/>
        </w:numPr>
        <w:rPr>
          <w:rFonts w:ascii="Palatino Linotype" w:hAnsi="Palatino Linotype"/>
          <w:sz w:val="24"/>
          <w:szCs w:val="28"/>
        </w:rPr>
      </w:pPr>
      <w:r w:rsidRPr="00B614AE">
        <w:rPr>
          <w:rFonts w:ascii="Palatino Linotype" w:hAnsi="Palatino Linotype"/>
          <w:sz w:val="24"/>
          <w:szCs w:val="28"/>
        </w:rPr>
        <w:t>Student/Staff</w:t>
      </w:r>
    </w:p>
    <w:p w:rsidR="007A325D" w:rsidRPr="00B614AE" w:rsidRDefault="007A325D" w:rsidP="007A325D">
      <w:pPr>
        <w:pStyle w:val="ListParagraph"/>
        <w:numPr>
          <w:ilvl w:val="0"/>
          <w:numId w:val="3"/>
        </w:numPr>
        <w:rPr>
          <w:rFonts w:ascii="Palatino Linotype" w:hAnsi="Palatino Linotype"/>
          <w:sz w:val="24"/>
          <w:szCs w:val="28"/>
        </w:rPr>
      </w:pPr>
      <w:r w:rsidRPr="00B614AE">
        <w:rPr>
          <w:rFonts w:ascii="Palatino Linotype" w:hAnsi="Palatino Linotype"/>
          <w:sz w:val="24"/>
          <w:szCs w:val="28"/>
        </w:rPr>
        <w:t>Student/Faculty</w:t>
      </w:r>
    </w:p>
    <w:p w:rsidR="007A325D" w:rsidRPr="00B614AE" w:rsidRDefault="007A325D" w:rsidP="007A325D">
      <w:pPr>
        <w:pStyle w:val="ListParagraph"/>
        <w:numPr>
          <w:ilvl w:val="0"/>
          <w:numId w:val="3"/>
        </w:numPr>
        <w:rPr>
          <w:rFonts w:ascii="Palatino Linotype" w:hAnsi="Palatino Linotype"/>
          <w:sz w:val="24"/>
          <w:szCs w:val="28"/>
        </w:rPr>
      </w:pPr>
      <w:r w:rsidRPr="00B614AE">
        <w:rPr>
          <w:rFonts w:ascii="Palatino Linotype" w:hAnsi="Palatino Linotype"/>
          <w:sz w:val="24"/>
          <w:szCs w:val="28"/>
        </w:rPr>
        <w:t>Student/Unknown</w:t>
      </w:r>
    </w:p>
    <w:p w:rsidR="007A325D" w:rsidRPr="00B614AE" w:rsidRDefault="007A325D" w:rsidP="007A325D">
      <w:pPr>
        <w:pStyle w:val="ListParagraph"/>
        <w:numPr>
          <w:ilvl w:val="0"/>
          <w:numId w:val="3"/>
        </w:numPr>
        <w:rPr>
          <w:rFonts w:ascii="Palatino Linotype" w:hAnsi="Palatino Linotype"/>
          <w:sz w:val="24"/>
          <w:szCs w:val="28"/>
        </w:rPr>
      </w:pPr>
      <w:r w:rsidRPr="00B614AE">
        <w:rPr>
          <w:rFonts w:ascii="Palatino Linotype" w:hAnsi="Palatino Linotype"/>
          <w:sz w:val="24"/>
          <w:szCs w:val="28"/>
        </w:rPr>
        <w:t>Staff/Student</w:t>
      </w:r>
    </w:p>
    <w:p w:rsidR="007A325D" w:rsidRPr="00B614AE" w:rsidRDefault="007A325D" w:rsidP="007A325D">
      <w:pPr>
        <w:pStyle w:val="ListParagraph"/>
        <w:numPr>
          <w:ilvl w:val="0"/>
          <w:numId w:val="3"/>
        </w:numPr>
        <w:rPr>
          <w:rFonts w:ascii="Palatino Linotype" w:hAnsi="Palatino Linotype"/>
          <w:sz w:val="24"/>
          <w:szCs w:val="28"/>
        </w:rPr>
      </w:pPr>
      <w:r w:rsidRPr="00B614AE">
        <w:rPr>
          <w:rFonts w:ascii="Palatino Linotype" w:hAnsi="Palatino Linotype"/>
          <w:sz w:val="24"/>
          <w:szCs w:val="28"/>
        </w:rPr>
        <w:t>Staff/Staff</w:t>
      </w:r>
    </w:p>
    <w:p w:rsidR="007A325D" w:rsidRPr="00B614AE" w:rsidRDefault="007A325D" w:rsidP="007A325D">
      <w:pPr>
        <w:pStyle w:val="ListParagraph"/>
        <w:numPr>
          <w:ilvl w:val="0"/>
          <w:numId w:val="3"/>
        </w:numPr>
        <w:rPr>
          <w:rFonts w:ascii="Palatino Linotype" w:hAnsi="Palatino Linotype"/>
          <w:sz w:val="24"/>
          <w:szCs w:val="28"/>
        </w:rPr>
      </w:pPr>
      <w:r w:rsidRPr="00B614AE">
        <w:rPr>
          <w:rFonts w:ascii="Palatino Linotype" w:hAnsi="Palatino Linotype"/>
          <w:sz w:val="24"/>
          <w:szCs w:val="28"/>
        </w:rPr>
        <w:t>Staff/Faculty</w:t>
      </w:r>
    </w:p>
    <w:p w:rsidR="007A325D" w:rsidRPr="00B614AE" w:rsidRDefault="007A325D" w:rsidP="007A325D">
      <w:pPr>
        <w:pStyle w:val="ListParagraph"/>
        <w:numPr>
          <w:ilvl w:val="0"/>
          <w:numId w:val="3"/>
        </w:numPr>
        <w:rPr>
          <w:rFonts w:ascii="Palatino Linotype" w:hAnsi="Palatino Linotype"/>
          <w:sz w:val="24"/>
          <w:szCs w:val="28"/>
        </w:rPr>
      </w:pPr>
      <w:r w:rsidRPr="00B614AE">
        <w:rPr>
          <w:rFonts w:ascii="Palatino Linotype" w:hAnsi="Palatino Linotype"/>
          <w:sz w:val="24"/>
          <w:szCs w:val="28"/>
        </w:rPr>
        <w:t>Staff/Unknown</w:t>
      </w:r>
    </w:p>
    <w:p w:rsidR="007A325D" w:rsidRPr="00B614AE" w:rsidRDefault="007A325D" w:rsidP="007A325D">
      <w:pPr>
        <w:pStyle w:val="ListParagraph"/>
        <w:numPr>
          <w:ilvl w:val="0"/>
          <w:numId w:val="3"/>
        </w:numPr>
        <w:rPr>
          <w:rFonts w:ascii="Palatino Linotype" w:hAnsi="Palatino Linotype"/>
          <w:sz w:val="24"/>
          <w:szCs w:val="28"/>
        </w:rPr>
      </w:pPr>
      <w:r w:rsidRPr="00B614AE">
        <w:rPr>
          <w:rFonts w:ascii="Palatino Linotype" w:hAnsi="Palatino Linotype"/>
          <w:sz w:val="24"/>
          <w:szCs w:val="28"/>
        </w:rPr>
        <w:t>Faculty/Student</w:t>
      </w:r>
    </w:p>
    <w:p w:rsidR="007A325D" w:rsidRPr="00B614AE" w:rsidRDefault="007A325D" w:rsidP="007A325D">
      <w:pPr>
        <w:pStyle w:val="ListParagraph"/>
        <w:numPr>
          <w:ilvl w:val="0"/>
          <w:numId w:val="3"/>
        </w:numPr>
        <w:rPr>
          <w:rFonts w:ascii="Palatino Linotype" w:hAnsi="Palatino Linotype"/>
          <w:sz w:val="24"/>
          <w:szCs w:val="28"/>
        </w:rPr>
      </w:pPr>
      <w:r w:rsidRPr="00B614AE">
        <w:rPr>
          <w:rFonts w:ascii="Palatino Linotype" w:hAnsi="Palatino Linotype"/>
          <w:sz w:val="24"/>
          <w:szCs w:val="28"/>
        </w:rPr>
        <w:t>Faculty/Staff</w:t>
      </w:r>
    </w:p>
    <w:p w:rsidR="007A325D" w:rsidRPr="00B614AE" w:rsidRDefault="007A325D" w:rsidP="007A325D">
      <w:pPr>
        <w:pStyle w:val="ListParagraph"/>
        <w:numPr>
          <w:ilvl w:val="0"/>
          <w:numId w:val="3"/>
        </w:numPr>
        <w:rPr>
          <w:rFonts w:ascii="Palatino Linotype" w:hAnsi="Palatino Linotype"/>
          <w:sz w:val="24"/>
          <w:szCs w:val="28"/>
        </w:rPr>
      </w:pPr>
      <w:r w:rsidRPr="00B614AE">
        <w:rPr>
          <w:rFonts w:ascii="Palatino Linotype" w:hAnsi="Palatino Linotype"/>
          <w:sz w:val="24"/>
          <w:szCs w:val="28"/>
        </w:rPr>
        <w:t>Faculty/Faculty</w:t>
      </w:r>
    </w:p>
    <w:p w:rsidR="007A325D" w:rsidRPr="00B614AE" w:rsidRDefault="007A325D" w:rsidP="007A325D">
      <w:pPr>
        <w:pStyle w:val="ListParagraph"/>
        <w:numPr>
          <w:ilvl w:val="0"/>
          <w:numId w:val="3"/>
        </w:numPr>
        <w:rPr>
          <w:rFonts w:ascii="Palatino Linotype" w:hAnsi="Palatino Linotype"/>
          <w:sz w:val="24"/>
          <w:szCs w:val="28"/>
        </w:rPr>
      </w:pPr>
      <w:r w:rsidRPr="00B614AE">
        <w:rPr>
          <w:rFonts w:ascii="Palatino Linotype" w:hAnsi="Palatino Linotype"/>
          <w:sz w:val="24"/>
          <w:szCs w:val="28"/>
        </w:rPr>
        <w:t>Faculty/Unknown</w:t>
      </w:r>
    </w:p>
    <w:p w:rsidR="007A325D" w:rsidRPr="00B614AE" w:rsidRDefault="007A325D" w:rsidP="007A325D">
      <w:pPr>
        <w:pStyle w:val="ListParagraph"/>
        <w:numPr>
          <w:ilvl w:val="0"/>
          <w:numId w:val="3"/>
        </w:numPr>
        <w:rPr>
          <w:rFonts w:ascii="Palatino Linotype" w:hAnsi="Palatino Linotype"/>
          <w:sz w:val="24"/>
          <w:szCs w:val="28"/>
        </w:rPr>
      </w:pPr>
      <w:r w:rsidRPr="00B614AE">
        <w:rPr>
          <w:rFonts w:ascii="Palatino Linotype" w:hAnsi="Palatino Linotype"/>
          <w:sz w:val="24"/>
          <w:szCs w:val="28"/>
        </w:rPr>
        <w:t>Third Party/Student</w:t>
      </w:r>
    </w:p>
    <w:p w:rsidR="007A325D" w:rsidRPr="00B614AE" w:rsidRDefault="007A325D" w:rsidP="007A325D">
      <w:pPr>
        <w:pStyle w:val="ListParagraph"/>
        <w:numPr>
          <w:ilvl w:val="0"/>
          <w:numId w:val="3"/>
        </w:numPr>
        <w:rPr>
          <w:rFonts w:ascii="Palatino Linotype" w:hAnsi="Palatino Linotype"/>
          <w:sz w:val="24"/>
          <w:szCs w:val="28"/>
        </w:rPr>
      </w:pPr>
      <w:r w:rsidRPr="00B614AE">
        <w:rPr>
          <w:rFonts w:ascii="Palatino Linotype" w:hAnsi="Palatino Linotype"/>
          <w:sz w:val="24"/>
          <w:szCs w:val="28"/>
        </w:rPr>
        <w:t>Third Party/Staff</w:t>
      </w:r>
    </w:p>
    <w:p w:rsidR="007A325D" w:rsidRPr="00B614AE" w:rsidRDefault="007A325D" w:rsidP="007A325D">
      <w:pPr>
        <w:pStyle w:val="ListParagraph"/>
        <w:numPr>
          <w:ilvl w:val="0"/>
          <w:numId w:val="3"/>
        </w:numPr>
        <w:rPr>
          <w:rFonts w:ascii="Palatino Linotype" w:hAnsi="Palatino Linotype"/>
          <w:sz w:val="24"/>
          <w:szCs w:val="28"/>
        </w:rPr>
      </w:pPr>
      <w:r w:rsidRPr="00B614AE">
        <w:rPr>
          <w:rFonts w:ascii="Palatino Linotype" w:hAnsi="Palatino Linotype"/>
          <w:sz w:val="24"/>
          <w:szCs w:val="28"/>
        </w:rPr>
        <w:t>Third Party/Faculty</w:t>
      </w:r>
    </w:p>
    <w:p w:rsidR="00DF1B73" w:rsidRDefault="00DF1B73">
      <w:pPr>
        <w:sectPr w:rsidR="00DF1B73">
          <w:pgSz w:w="12240" w:h="15840"/>
          <w:pgMar w:top="1440" w:right="1440" w:bottom="1440" w:left="1440" w:header="720" w:footer="720" w:gutter="0"/>
          <w:cols w:space="720"/>
          <w:docGrid w:linePitch="360"/>
        </w:sectPr>
      </w:pPr>
    </w:p>
    <w:p w:rsidR="00BA7DC2" w:rsidRPr="00B423F3" w:rsidRDefault="00DF1B73">
      <w:pPr>
        <w:rPr>
          <w:rFonts w:ascii="Palatino Linotype" w:hAnsi="Palatino Linotype"/>
          <w:b/>
          <w:sz w:val="32"/>
        </w:rPr>
      </w:pPr>
      <w:r w:rsidRPr="00B423F3">
        <w:rPr>
          <w:rFonts w:ascii="Palatino Linotype" w:hAnsi="Palatino Linotype"/>
          <w:b/>
          <w:sz w:val="32"/>
        </w:rPr>
        <w:lastRenderedPageBreak/>
        <w:t xml:space="preserve">Appendix – Definitions </w:t>
      </w:r>
    </w:p>
    <w:p w:rsidR="00DF1B73" w:rsidRDefault="00B423F3">
      <w:pPr>
        <w:rPr>
          <w:rFonts w:ascii="Palatino Linotype" w:hAnsi="Palatino Linotype"/>
          <w:sz w:val="24"/>
        </w:rPr>
      </w:pPr>
      <w:r>
        <w:rPr>
          <w:rFonts w:ascii="Palatino Linotype" w:hAnsi="Palatino Linotype"/>
          <w:sz w:val="24"/>
        </w:rPr>
        <w:t>Abusive Conduct</w:t>
      </w:r>
    </w:p>
    <w:p w:rsidR="00B423F3" w:rsidRDefault="00B423F3">
      <w:pPr>
        <w:rPr>
          <w:rFonts w:ascii="Palatino Linotype" w:hAnsi="Palatino Linotype"/>
          <w:sz w:val="24"/>
        </w:rPr>
      </w:pPr>
      <w:r>
        <w:rPr>
          <w:rFonts w:ascii="Palatino Linotype" w:hAnsi="Palatino Linotype"/>
          <w:sz w:val="24"/>
        </w:rPr>
        <w:t>Bullying</w:t>
      </w:r>
    </w:p>
    <w:p w:rsidR="00B423F3" w:rsidRDefault="00B423F3" w:rsidP="00B423F3">
      <w:pPr>
        <w:rPr>
          <w:rFonts w:ascii="Palatino Linotype" w:hAnsi="Palatino Linotype"/>
          <w:sz w:val="24"/>
        </w:rPr>
      </w:pPr>
      <w:r>
        <w:rPr>
          <w:rFonts w:ascii="Palatino Linotype" w:hAnsi="Palatino Linotype"/>
          <w:sz w:val="24"/>
        </w:rPr>
        <w:t>Complainant</w:t>
      </w:r>
    </w:p>
    <w:p w:rsidR="00B423F3" w:rsidRDefault="00B423F3" w:rsidP="00B423F3">
      <w:pPr>
        <w:rPr>
          <w:rFonts w:ascii="Palatino Linotype" w:hAnsi="Palatino Linotype"/>
          <w:sz w:val="24"/>
        </w:rPr>
      </w:pPr>
      <w:r>
        <w:rPr>
          <w:rFonts w:ascii="Palatino Linotype" w:hAnsi="Palatino Linotype"/>
          <w:sz w:val="24"/>
        </w:rPr>
        <w:t>Complaint</w:t>
      </w:r>
    </w:p>
    <w:p w:rsidR="00B423F3" w:rsidRDefault="00B423F3">
      <w:pPr>
        <w:rPr>
          <w:rFonts w:ascii="Palatino Linotype" w:hAnsi="Palatino Linotype"/>
          <w:sz w:val="24"/>
        </w:rPr>
      </w:pPr>
      <w:r>
        <w:rPr>
          <w:rFonts w:ascii="Palatino Linotype" w:hAnsi="Palatino Linotype"/>
          <w:sz w:val="24"/>
        </w:rPr>
        <w:t>Cyberbullying</w:t>
      </w:r>
    </w:p>
    <w:p w:rsidR="00B423F3" w:rsidRDefault="00B423F3" w:rsidP="00B423F3">
      <w:pPr>
        <w:rPr>
          <w:rFonts w:ascii="Palatino Linotype" w:hAnsi="Palatino Linotype"/>
          <w:sz w:val="24"/>
        </w:rPr>
      </w:pPr>
      <w:r>
        <w:rPr>
          <w:rFonts w:ascii="Palatino Linotype" w:hAnsi="Palatino Linotype"/>
          <w:sz w:val="24"/>
        </w:rPr>
        <w:t>Hostile Environment</w:t>
      </w:r>
    </w:p>
    <w:p w:rsidR="00B423F3" w:rsidRDefault="00B423F3">
      <w:pPr>
        <w:rPr>
          <w:rFonts w:ascii="Palatino Linotype" w:hAnsi="Palatino Linotype"/>
          <w:sz w:val="24"/>
        </w:rPr>
      </w:pPr>
      <w:r>
        <w:rPr>
          <w:rFonts w:ascii="Palatino Linotype" w:hAnsi="Palatino Linotype"/>
          <w:sz w:val="24"/>
        </w:rPr>
        <w:t>Report</w:t>
      </w:r>
    </w:p>
    <w:p w:rsidR="00B423F3" w:rsidRDefault="00B423F3" w:rsidP="00B423F3">
      <w:pPr>
        <w:rPr>
          <w:rFonts w:ascii="Palatino Linotype" w:hAnsi="Palatino Linotype"/>
          <w:sz w:val="24"/>
        </w:rPr>
      </w:pPr>
      <w:r>
        <w:rPr>
          <w:rFonts w:ascii="Palatino Linotype" w:hAnsi="Palatino Linotype"/>
          <w:sz w:val="24"/>
        </w:rPr>
        <w:t>Respondent</w:t>
      </w:r>
    </w:p>
    <w:p w:rsidR="00B423F3" w:rsidRDefault="00B423F3">
      <w:pPr>
        <w:rPr>
          <w:rFonts w:ascii="Palatino Linotype" w:hAnsi="Palatino Linotype"/>
          <w:sz w:val="24"/>
        </w:rPr>
      </w:pPr>
      <w:r>
        <w:rPr>
          <w:rFonts w:ascii="Palatino Linotype" w:hAnsi="Palatino Linotype"/>
          <w:sz w:val="24"/>
        </w:rPr>
        <w:t>Retaliation</w:t>
      </w:r>
    </w:p>
    <w:p w:rsidR="00B423F3" w:rsidRDefault="00B423F3">
      <w:pPr>
        <w:rPr>
          <w:rFonts w:ascii="Palatino Linotype" w:hAnsi="Palatino Linotype"/>
          <w:sz w:val="24"/>
        </w:rPr>
      </w:pPr>
    </w:p>
    <w:p w:rsidR="00092112" w:rsidRDefault="00092112">
      <w:pPr>
        <w:rPr>
          <w:rFonts w:ascii="Palatino Linotype" w:hAnsi="Palatino Linotype"/>
          <w:b/>
          <w:sz w:val="24"/>
        </w:rPr>
      </w:pPr>
      <w:r>
        <w:rPr>
          <w:rFonts w:ascii="Palatino Linotype" w:hAnsi="Palatino Linotype"/>
          <w:b/>
          <w:sz w:val="24"/>
        </w:rPr>
        <w:t>Questions for review:</w:t>
      </w:r>
    </w:p>
    <w:p w:rsidR="00092112" w:rsidRDefault="00092112" w:rsidP="00092112">
      <w:pPr>
        <w:pStyle w:val="ListParagraph"/>
        <w:numPr>
          <w:ilvl w:val="0"/>
          <w:numId w:val="4"/>
        </w:numPr>
        <w:rPr>
          <w:rFonts w:ascii="Palatino Linotype" w:hAnsi="Palatino Linotype"/>
          <w:sz w:val="24"/>
        </w:rPr>
      </w:pPr>
      <w:r>
        <w:rPr>
          <w:rFonts w:ascii="Palatino Linotype" w:hAnsi="Palatino Linotype"/>
          <w:sz w:val="24"/>
        </w:rPr>
        <w:t>What is the scope of the policy? Does it apply to all constituents? Does it apply to all units of the university? Are third parties covered?</w:t>
      </w:r>
    </w:p>
    <w:p w:rsidR="00092112" w:rsidRDefault="00092112" w:rsidP="00092112">
      <w:pPr>
        <w:pStyle w:val="ListParagraph"/>
        <w:numPr>
          <w:ilvl w:val="0"/>
          <w:numId w:val="4"/>
        </w:numPr>
        <w:rPr>
          <w:rFonts w:ascii="Palatino Linotype" w:hAnsi="Palatino Linotype"/>
          <w:sz w:val="24"/>
        </w:rPr>
      </w:pPr>
      <w:r>
        <w:rPr>
          <w:rFonts w:ascii="Palatino Linotype" w:hAnsi="Palatino Linotype"/>
          <w:sz w:val="24"/>
        </w:rPr>
        <w:t>What is the overlap with the Code? Should non-protected-status harassment be removed from the Code?</w:t>
      </w:r>
    </w:p>
    <w:p w:rsidR="00092112" w:rsidRDefault="00092112" w:rsidP="00092112">
      <w:pPr>
        <w:pStyle w:val="ListParagraph"/>
        <w:numPr>
          <w:ilvl w:val="0"/>
          <w:numId w:val="4"/>
        </w:numPr>
        <w:rPr>
          <w:rFonts w:ascii="Palatino Linotype" w:hAnsi="Palatino Linotype"/>
          <w:sz w:val="24"/>
        </w:rPr>
      </w:pPr>
      <w:r>
        <w:rPr>
          <w:rFonts w:ascii="Palatino Linotype" w:hAnsi="Palatino Linotype"/>
          <w:sz w:val="24"/>
        </w:rPr>
        <w:t>What conduct is covered under this policy? What conduct is not covered under this policy?</w:t>
      </w:r>
    </w:p>
    <w:p w:rsidR="00092112" w:rsidRDefault="00092112" w:rsidP="00092112">
      <w:pPr>
        <w:pStyle w:val="ListParagraph"/>
        <w:numPr>
          <w:ilvl w:val="0"/>
          <w:numId w:val="4"/>
        </w:numPr>
        <w:rPr>
          <w:rFonts w:ascii="Palatino Linotype" w:hAnsi="Palatino Linotype"/>
          <w:sz w:val="24"/>
        </w:rPr>
      </w:pPr>
      <w:r>
        <w:rPr>
          <w:rFonts w:ascii="Palatino Linotype" w:hAnsi="Palatino Linotype"/>
          <w:sz w:val="24"/>
        </w:rPr>
        <w:t>Should the determination of whether or not bullying has occurred be based on the frequency of the acts?</w:t>
      </w:r>
    </w:p>
    <w:p w:rsidR="00092112" w:rsidRDefault="00092112" w:rsidP="00092112">
      <w:pPr>
        <w:pStyle w:val="ListParagraph"/>
        <w:numPr>
          <w:ilvl w:val="0"/>
          <w:numId w:val="4"/>
        </w:numPr>
        <w:rPr>
          <w:rFonts w:ascii="Palatino Linotype" w:hAnsi="Palatino Linotype"/>
          <w:sz w:val="24"/>
        </w:rPr>
      </w:pPr>
      <w:r>
        <w:rPr>
          <w:rFonts w:ascii="Palatino Linotype" w:hAnsi="Palatino Linotype"/>
          <w:sz w:val="24"/>
        </w:rPr>
        <w:t>What are the applicable procedures under this policy? Should existing procedures for the various constituent groups be applied (Faculty Handbook, HR, and Code)?</w:t>
      </w:r>
    </w:p>
    <w:p w:rsidR="00092112" w:rsidRPr="00092112" w:rsidRDefault="00092112" w:rsidP="00092112">
      <w:pPr>
        <w:pStyle w:val="ListParagraph"/>
        <w:numPr>
          <w:ilvl w:val="0"/>
          <w:numId w:val="4"/>
        </w:numPr>
        <w:rPr>
          <w:rFonts w:ascii="Palatino Linotype" w:hAnsi="Palatino Linotype"/>
          <w:sz w:val="24"/>
        </w:rPr>
      </w:pPr>
      <w:r>
        <w:rPr>
          <w:rFonts w:ascii="Palatino Linotype" w:hAnsi="Palatino Linotype"/>
          <w:sz w:val="24"/>
        </w:rPr>
        <w:t>What additional definitions should be included?</w:t>
      </w:r>
    </w:p>
    <w:sectPr w:rsidR="00092112" w:rsidRPr="000921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56863">
      <w:pPr>
        <w:spacing w:after="0" w:line="240" w:lineRule="auto"/>
      </w:pPr>
      <w:r>
        <w:separator/>
      </w:r>
    </w:p>
  </w:endnote>
  <w:endnote w:type="continuationSeparator" w:id="0">
    <w:p w:rsidR="00000000" w:rsidRDefault="0045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262" w:rsidRDefault="004568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602772"/>
      <w:docPartObj>
        <w:docPartGallery w:val="Page Numbers (Bottom of Page)"/>
        <w:docPartUnique/>
      </w:docPartObj>
    </w:sdtPr>
    <w:sdtEndPr>
      <w:rPr>
        <w:noProof/>
      </w:rPr>
    </w:sdtEndPr>
    <w:sdtContent>
      <w:p w:rsidR="00FB7098" w:rsidRDefault="00B423F3">
        <w:pPr>
          <w:pStyle w:val="Footer"/>
          <w:jc w:val="right"/>
        </w:pPr>
        <w:r>
          <w:fldChar w:fldCharType="begin"/>
        </w:r>
        <w:r>
          <w:instrText xml:space="preserve"> PAGE   \* MERGEFORMAT </w:instrText>
        </w:r>
        <w:r>
          <w:fldChar w:fldCharType="separate"/>
        </w:r>
        <w:r w:rsidR="00456863">
          <w:rPr>
            <w:noProof/>
          </w:rPr>
          <w:t>5</w:t>
        </w:r>
        <w:r>
          <w:rPr>
            <w:noProof/>
          </w:rPr>
          <w:fldChar w:fldCharType="end"/>
        </w:r>
      </w:p>
    </w:sdtContent>
  </w:sdt>
  <w:p w:rsidR="00FB7098" w:rsidRDefault="004568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262" w:rsidRDefault="00456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56863">
      <w:pPr>
        <w:spacing w:after="0" w:line="240" w:lineRule="auto"/>
      </w:pPr>
      <w:r>
        <w:separator/>
      </w:r>
    </w:p>
  </w:footnote>
  <w:footnote w:type="continuationSeparator" w:id="0">
    <w:p w:rsidR="00000000" w:rsidRDefault="00456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262" w:rsidRDefault="004568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627990"/>
      <w:docPartObj>
        <w:docPartGallery w:val="Watermarks"/>
        <w:docPartUnique/>
      </w:docPartObj>
    </w:sdtPr>
    <w:sdtEndPr/>
    <w:sdtContent>
      <w:p w:rsidR="00322262" w:rsidRDefault="004568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262" w:rsidRDefault="004568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3697B"/>
    <w:multiLevelType w:val="hybridMultilevel"/>
    <w:tmpl w:val="CE36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26159"/>
    <w:multiLevelType w:val="hybridMultilevel"/>
    <w:tmpl w:val="9CCC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331531"/>
    <w:multiLevelType w:val="hybridMultilevel"/>
    <w:tmpl w:val="65004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419D3"/>
    <w:multiLevelType w:val="hybridMultilevel"/>
    <w:tmpl w:val="A2705464"/>
    <w:lvl w:ilvl="0" w:tplc="49466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5D"/>
    <w:rsid w:val="00005DE3"/>
    <w:rsid w:val="00006DE2"/>
    <w:rsid w:val="00092112"/>
    <w:rsid w:val="00152D8C"/>
    <w:rsid w:val="001A50D1"/>
    <w:rsid w:val="00456863"/>
    <w:rsid w:val="004C44EA"/>
    <w:rsid w:val="0052090F"/>
    <w:rsid w:val="007A325D"/>
    <w:rsid w:val="009E3697"/>
    <w:rsid w:val="00AC58C3"/>
    <w:rsid w:val="00B423F3"/>
    <w:rsid w:val="00B87410"/>
    <w:rsid w:val="00C06079"/>
    <w:rsid w:val="00C9481D"/>
    <w:rsid w:val="00D14307"/>
    <w:rsid w:val="00DA4D8A"/>
    <w:rsid w:val="00DF1B73"/>
    <w:rsid w:val="00E974EB"/>
    <w:rsid w:val="00F44FD5"/>
    <w:rsid w:val="00F92841"/>
    <w:rsid w:val="00FA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02D8A10-CC1A-45DC-B643-2FE0A3AB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2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25D"/>
  </w:style>
  <w:style w:type="paragraph" w:styleId="Footer">
    <w:name w:val="footer"/>
    <w:basedOn w:val="Normal"/>
    <w:link w:val="FooterChar"/>
    <w:uiPriority w:val="99"/>
    <w:unhideWhenUsed/>
    <w:rsid w:val="007A3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25D"/>
  </w:style>
  <w:style w:type="paragraph" w:styleId="ListParagraph">
    <w:name w:val="List Paragraph"/>
    <w:basedOn w:val="Normal"/>
    <w:uiPriority w:val="34"/>
    <w:qFormat/>
    <w:rsid w:val="007A3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Ulysses James Smith</dc:creator>
  <cp:keywords/>
  <dc:description/>
  <cp:lastModifiedBy>Ulysses James Smith</cp:lastModifiedBy>
  <cp:revision>10</cp:revision>
  <dcterms:created xsi:type="dcterms:W3CDTF">2015-10-22T14:58:00Z</dcterms:created>
  <dcterms:modified xsi:type="dcterms:W3CDTF">2015-10-23T19:52:00Z</dcterms:modified>
</cp:coreProperties>
</file>