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804AB" w14:textId="6D18F0F9" w:rsidR="006C3F3F" w:rsidRDefault="00834EEB" w:rsidP="00AD443E">
      <w:pPr>
        <w:pStyle w:val="Body"/>
        <w:jc w:val="center"/>
        <w:rPr>
          <w:rFonts w:ascii="Georgia Bold" w:eastAsia="Georgia Bold" w:hAnsi="Georgia Bold" w:cs="Georgia Bold"/>
          <w:sz w:val="32"/>
          <w:szCs w:val="32"/>
        </w:rPr>
      </w:pPr>
      <w:r>
        <w:rPr>
          <w:rFonts w:ascii="Georgia Bold"/>
          <w:sz w:val="32"/>
          <w:szCs w:val="32"/>
        </w:rPr>
        <w:t>GPSA</w:t>
      </w:r>
      <w:r w:rsidR="00A32E25">
        <w:rPr>
          <w:rFonts w:ascii="Georgia Bold"/>
          <w:sz w:val="32"/>
          <w:szCs w:val="32"/>
        </w:rPr>
        <w:t xml:space="preserve"> Resolution </w:t>
      </w:r>
      <w:r w:rsidR="00513AF3">
        <w:rPr>
          <w:rFonts w:ascii="Georgia Bold"/>
          <w:sz w:val="32"/>
          <w:szCs w:val="32"/>
        </w:rPr>
        <w:t>4: Endorsement of the Best Practices for Faculty Advisers Document</w:t>
      </w:r>
    </w:p>
    <w:p w14:paraId="77CB2F8E" w14:textId="77777777" w:rsidR="006C3F3F" w:rsidRDefault="006C3F3F">
      <w:pPr>
        <w:pStyle w:val="Body"/>
        <w:jc w:val="center"/>
        <w:rPr>
          <w:rFonts w:ascii="Georgia" w:eastAsia="Georgia" w:hAnsi="Georgia" w:cs="Georgia"/>
        </w:rPr>
      </w:pPr>
    </w:p>
    <w:p w14:paraId="2AE5D147" w14:textId="0B32DCF9" w:rsidR="006C3F3F" w:rsidRDefault="00AD443E">
      <w:pPr>
        <w:pStyle w:val="Body"/>
        <w:rPr>
          <w:rFonts w:ascii="Georgia Bold"/>
          <w:sz w:val="23"/>
          <w:szCs w:val="23"/>
        </w:rPr>
      </w:pPr>
      <w:r>
        <w:rPr>
          <w:rFonts w:ascii="Georgia Bold"/>
          <w:sz w:val="23"/>
          <w:szCs w:val="23"/>
          <w:u w:val="single"/>
        </w:rPr>
        <w:t>Sponsored by</w:t>
      </w:r>
      <w:r>
        <w:rPr>
          <w:rFonts w:ascii="Georgia Bold"/>
          <w:sz w:val="23"/>
          <w:szCs w:val="23"/>
        </w:rPr>
        <w:t xml:space="preserve">: </w:t>
      </w:r>
      <w:r w:rsidR="00513AF3">
        <w:rPr>
          <w:rFonts w:ascii="Georgia Bold"/>
          <w:sz w:val="23"/>
          <w:szCs w:val="23"/>
        </w:rPr>
        <w:t>Richard Walroth</w:t>
      </w:r>
    </w:p>
    <w:p w14:paraId="7A2880A1" w14:textId="77777777" w:rsidR="006752DB" w:rsidRDefault="006752DB">
      <w:pPr>
        <w:pStyle w:val="Body"/>
        <w:rPr>
          <w:rFonts w:ascii="Times Roman" w:eastAsia="Times Roman" w:hAnsi="Times Roman" w:cs="Times Roman"/>
          <w:sz w:val="20"/>
          <w:szCs w:val="20"/>
        </w:rPr>
      </w:pPr>
    </w:p>
    <w:p w14:paraId="5FA5C975" w14:textId="2CE1B922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WHEREAS,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the adviser-advisee relationship is often the single most important factor determining a graduate student</w:t>
      </w:r>
      <w:bookmarkStart w:id="0" w:name="_GoBack"/>
      <w:bookmarkEnd w:id="0"/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>’s education and overall experience in graduate school;</w:t>
      </w:r>
    </w:p>
    <w:p w14:paraId="762E73A1" w14:textId="77777777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6F16E2E5" w14:textId="78340BB0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WHEREAS,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an enforceable formal set of guidelines for faculty advisers can only be reasonably expected to address worst case scenarios;</w:t>
      </w:r>
    </w:p>
    <w:p w14:paraId="5C0B4B53" w14:textId="77777777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38558ACA" w14:textId="367FC319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WHEREAS,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more informal guidance will be highly beneficial both to new and experienced faculty members;</w:t>
      </w:r>
    </w:p>
    <w:p w14:paraId="44BA46D7" w14:textId="77777777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393C8FAE" w14:textId="4868FF50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WHEREAS,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such a set of guidelines will allow for assessment of an adviser’s ability to mentor students</w:t>
      </w:r>
      <w:r>
        <w:rPr>
          <w:rFonts w:ascii="Georgia" w:eastAsia="Calibri" w:hAnsi="Georgia"/>
          <w:sz w:val="23"/>
          <w:szCs w:val="23"/>
          <w:bdr w:val="none" w:sz="0" w:space="0" w:color="auto"/>
        </w:rPr>
        <w:t>, as well as serve as a starting point for conversations between advisers and advisees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>;</w:t>
      </w:r>
    </w:p>
    <w:p w14:paraId="6360DD6D" w14:textId="77777777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161B88EC" w14:textId="08EA63B0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WHEREAS,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th</w:t>
      </w:r>
      <w:r>
        <w:rPr>
          <w:rFonts w:ascii="Georgia" w:eastAsia="Calibri" w:hAnsi="Georgia"/>
          <w:sz w:val="23"/>
          <w:szCs w:val="23"/>
          <w:bdr w:val="none" w:sz="0" w:space="0" w:color="auto"/>
        </w:rPr>
        <w:t>e executive committee of the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Graduate and Professional Student Assembly (GPSA) has prepared such a set of guidelines with input from the Office of the Dean of the Graduate School, the voting members of the GPSA, and other stakeholders;</w:t>
      </w:r>
    </w:p>
    <w:p w14:paraId="396095E9" w14:textId="77777777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4963CCC2" w14:textId="4BBEC9F1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BE IT THEREFORE RESOLVED,</w:t>
      </w:r>
      <w:r>
        <w:rPr>
          <w:rFonts w:ascii="Georgia" w:eastAsia="Calibri" w:hAnsi="Georgia"/>
          <w:sz w:val="23"/>
          <w:szCs w:val="23"/>
          <w:bdr w:val="none" w:sz="0" w:space="0" w:color="auto"/>
        </w:rPr>
        <w:t xml:space="preserve"> that the GPSA endorses the document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called “Best Practices for Faculty Advisers”, as a perspective from students on what may be expected of a faculty adviser;</w:t>
      </w:r>
    </w:p>
    <w:p w14:paraId="14B30266" w14:textId="77777777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326FC751" w14:textId="49B4D53A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BE IT FURTHER RESOLVED,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that this document be used to guide future assessment of faculty advisers and graduate students’ experiences at Cornell;</w:t>
      </w:r>
    </w:p>
    <w:p w14:paraId="053E341D" w14:textId="77777777" w:rsidR="00513AF3" w:rsidRP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08DFDD60" w14:textId="77777777" w:rsid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BE IT FURTHER RESOLVED,</w:t>
      </w:r>
      <w:r w:rsidRPr="00513AF3">
        <w:rPr>
          <w:rFonts w:ascii="Georgia" w:eastAsia="Calibri" w:hAnsi="Georgia"/>
          <w:sz w:val="23"/>
          <w:szCs w:val="23"/>
          <w:bdr w:val="none" w:sz="0" w:space="0" w:color="auto"/>
        </w:rPr>
        <w:t xml:space="preserve"> that this document be widely distributed to faculty members and be incorporated into </w:t>
      </w:r>
      <w:r>
        <w:rPr>
          <w:rFonts w:ascii="Georgia" w:eastAsia="Calibri" w:hAnsi="Georgia"/>
          <w:sz w:val="23"/>
          <w:szCs w:val="23"/>
          <w:bdr w:val="none" w:sz="0" w:space="0" w:color="auto"/>
        </w:rPr>
        <w:t xml:space="preserve">training for faculty advisers, </w:t>
      </w:r>
    </w:p>
    <w:p w14:paraId="7B7ADE24" w14:textId="77777777" w:rsidR="00513AF3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258164AC" w14:textId="6CB9F941" w:rsidR="008637DC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>BE IT FINALLY</w:t>
      </w: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 xml:space="preserve"> RESOLVED,</w:t>
      </w:r>
      <w:r>
        <w:rPr>
          <w:rFonts w:ascii="Georgia" w:eastAsia="Calibri" w:hAnsi="Georgia"/>
          <w:b/>
          <w:sz w:val="23"/>
          <w:szCs w:val="23"/>
          <w:bdr w:val="none" w:sz="0" w:space="0" w:color="auto"/>
        </w:rPr>
        <w:t xml:space="preserve"> </w:t>
      </w:r>
      <w:r>
        <w:rPr>
          <w:rFonts w:ascii="Georgia" w:eastAsia="Calibri" w:hAnsi="Georgia"/>
          <w:sz w:val="23"/>
          <w:szCs w:val="23"/>
          <w:bdr w:val="none" w:sz="0" w:space="0" w:color="auto"/>
        </w:rPr>
        <w:t>that this document be widely distributed to current and incoming graduate students.</w:t>
      </w:r>
    </w:p>
    <w:p w14:paraId="2569CD0C" w14:textId="77777777" w:rsidR="00513AF3" w:rsidRPr="00AC32E1" w:rsidRDefault="00513AF3" w:rsidP="00513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sz w:val="23"/>
          <w:szCs w:val="23"/>
          <w:bdr w:val="none" w:sz="0" w:space="0" w:color="auto"/>
        </w:rPr>
      </w:pPr>
    </w:p>
    <w:p w14:paraId="5779DDB8" w14:textId="6B5B3807" w:rsidR="006C3F3F" w:rsidRDefault="008637DC" w:rsidP="00AC3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/>
        </w:rPr>
        <w:t xml:space="preserve">RESPECTFULLY SUBMITTED, </w:t>
      </w:r>
    </w:p>
    <w:p w14:paraId="365CBD98" w14:textId="5A1F95E1" w:rsidR="008637DC" w:rsidRDefault="00513AF3" w:rsidP="00AC3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/>
        </w:rPr>
        <w:t>Richard Walroth</w:t>
      </w:r>
      <w:r w:rsidR="008637DC">
        <w:rPr>
          <w:b/>
        </w:rPr>
        <w:t>,</w:t>
      </w:r>
    </w:p>
    <w:p w14:paraId="72C9E2E5" w14:textId="1414EC25" w:rsidR="008637DC" w:rsidRPr="008637DC" w:rsidRDefault="008637DC" w:rsidP="00AC3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>
        <w:rPr>
          <w:i/>
        </w:rPr>
        <w:t xml:space="preserve">GPSA </w:t>
      </w:r>
      <w:r w:rsidR="00513AF3">
        <w:rPr>
          <w:i/>
        </w:rPr>
        <w:t>President</w:t>
      </w:r>
    </w:p>
    <w:sectPr w:rsidR="008637DC" w:rsidRPr="008637DC" w:rsidSect="00EE7D8F">
      <w:headerReference w:type="default" r:id="rId7"/>
      <w:footerReference w:type="default" r:id="rId8"/>
      <w:pgSz w:w="12240" w:h="15840"/>
      <w:pgMar w:top="1008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D382" w14:textId="77777777" w:rsidR="001215B6" w:rsidRDefault="001215B6">
      <w:r>
        <w:separator/>
      </w:r>
    </w:p>
  </w:endnote>
  <w:endnote w:type="continuationSeparator" w:id="0">
    <w:p w14:paraId="65456216" w14:textId="77777777" w:rsidR="001215B6" w:rsidRDefault="0012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B9CF" w14:textId="77777777" w:rsidR="00802B5B" w:rsidRDefault="00802B5B">
    <w:pPr>
      <w:pStyle w:val="Footer"/>
      <w:rPr>
        <w:rFonts w:ascii="Georgia"/>
        <w:i/>
        <w:iCs/>
        <w:sz w:val="20"/>
        <w:szCs w:val="20"/>
      </w:rPr>
    </w:pPr>
  </w:p>
  <w:p w14:paraId="5D1E21C0" w14:textId="548E1BAE" w:rsidR="00802B5B" w:rsidRDefault="00802B5B" w:rsidP="007726D0">
    <w:pPr>
      <w:pStyle w:val="Footer"/>
      <w:jc w:val="center"/>
      <w:rPr>
        <w:rFonts w:ascii="Georgia" w:eastAsia="Georgia" w:hAnsi="Georgia" w:cs="Georgia"/>
        <w:i/>
        <w:iCs/>
        <w:sz w:val="20"/>
        <w:szCs w:val="20"/>
      </w:rPr>
    </w:pPr>
    <w:r>
      <w:rPr>
        <w:rFonts w:ascii="Georgia"/>
        <w:b/>
        <w:bCs/>
        <w:i/>
        <w:iCs/>
        <w:sz w:val="20"/>
        <w:szCs w:val="20"/>
      </w:rPr>
      <w:t xml:space="preserve">Cornell University </w:t>
    </w:r>
    <w:r w:rsidRPr="00A22A95">
      <w:rPr>
        <w:rFonts w:ascii="Wingdings" w:hAnsi="Wingdings"/>
      </w:rPr>
      <w:t></w:t>
    </w:r>
    <w:r>
      <w:rPr>
        <w:rFonts w:ascii="Georgia"/>
        <w:b/>
        <w:bCs/>
        <w:i/>
        <w:iCs/>
        <w:sz w:val="20"/>
        <w:szCs w:val="20"/>
      </w:rPr>
      <w:t xml:space="preserve"> Graduate &amp; Professional Student Assembly </w:t>
    </w:r>
    <w:proofErr w:type="gramStart"/>
    <w:r w:rsidRPr="00A22A95">
      <w:rPr>
        <w:rFonts w:ascii="Wingdings" w:hAnsi="Wingdings"/>
      </w:rPr>
      <w:t></w:t>
    </w:r>
    <w:r>
      <w:rPr>
        <w:rFonts w:ascii="Georgia"/>
        <w:b/>
        <w:bCs/>
        <w:i/>
        <w:iCs/>
        <w:sz w:val="20"/>
        <w:szCs w:val="20"/>
      </w:rPr>
      <w:t xml:space="preserve">  </w:t>
    </w:r>
    <w:proofErr w:type="gramEnd"/>
    <w:hyperlink r:id="rId1" w:history="1">
      <w:r>
        <w:rPr>
          <w:rStyle w:val="Hyperlink"/>
          <w:rFonts w:ascii="Georgia"/>
          <w:b/>
          <w:bCs/>
          <w:i/>
          <w:iCs/>
          <w:sz w:val="20"/>
          <w:szCs w:val="20"/>
        </w:rPr>
        <w:t>assembly.cornell.edu/GPSA/Home</w:t>
      </w:r>
    </w:hyperlink>
  </w:p>
  <w:p w14:paraId="68019DA3" w14:textId="571CF06D" w:rsidR="00802B5B" w:rsidRDefault="008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400FA" w14:textId="77777777" w:rsidR="001215B6" w:rsidRDefault="001215B6">
      <w:r>
        <w:separator/>
      </w:r>
    </w:p>
  </w:footnote>
  <w:footnote w:type="continuationSeparator" w:id="0">
    <w:p w14:paraId="52DA88DE" w14:textId="77777777" w:rsidR="001215B6" w:rsidRDefault="0012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5425" w14:textId="77777777" w:rsidR="00802B5B" w:rsidRDefault="00802B5B">
    <w:pPr>
      <w:pStyle w:val="HeaderFooter"/>
    </w:pPr>
  </w:p>
  <w:p w14:paraId="5C744C8B" w14:textId="04C04B69" w:rsidR="00802B5B" w:rsidRDefault="00802B5B" w:rsidP="00EE7D8F">
    <w:pPr>
      <w:pStyle w:val="HeaderFooter"/>
      <w:ind w:left="-720"/>
    </w:pPr>
    <w:r>
      <w:rPr>
        <w:noProof/>
      </w:rPr>
      <w:drawing>
        <wp:inline distT="0" distB="0" distL="0" distR="0" wp14:anchorId="781574D6" wp14:editId="657E25CB">
          <wp:extent cx="3200400" cy="793262"/>
          <wp:effectExtent l="0" t="0" r="0" b="0"/>
          <wp:docPr id="2" name="Picture 2" descr="Fabrizio:Users:Gina:Desktop:Assemblies:Branding:GPSA:OOA_GPSA_3line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brizio:Users:Gina:Desktop:Assemblies:Branding:GPSA:OOA_GPSA_3line_4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556" cy="79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95712" w14:textId="77777777" w:rsidR="00802B5B" w:rsidRDefault="00802B5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4FCB"/>
    <w:multiLevelType w:val="hybridMultilevel"/>
    <w:tmpl w:val="AE86F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C5186"/>
    <w:multiLevelType w:val="hybridMultilevel"/>
    <w:tmpl w:val="4EA8E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E1814"/>
    <w:multiLevelType w:val="multilevel"/>
    <w:tmpl w:val="BC1E8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D354A"/>
    <w:multiLevelType w:val="multilevel"/>
    <w:tmpl w:val="0C8C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27AA0"/>
    <w:multiLevelType w:val="hybridMultilevel"/>
    <w:tmpl w:val="58CC2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58562E"/>
    <w:multiLevelType w:val="hybridMultilevel"/>
    <w:tmpl w:val="4EA8E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B69EA"/>
    <w:multiLevelType w:val="hybridMultilevel"/>
    <w:tmpl w:val="EE5A7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E11D1"/>
    <w:multiLevelType w:val="hybridMultilevel"/>
    <w:tmpl w:val="85E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F"/>
    <w:rsid w:val="00066908"/>
    <w:rsid w:val="000B59DB"/>
    <w:rsid w:val="000B7E40"/>
    <w:rsid w:val="000E6197"/>
    <w:rsid w:val="00110624"/>
    <w:rsid w:val="001215B6"/>
    <w:rsid w:val="00184C47"/>
    <w:rsid w:val="00197E35"/>
    <w:rsid w:val="001A29A5"/>
    <w:rsid w:val="00204E8D"/>
    <w:rsid w:val="00314E0C"/>
    <w:rsid w:val="00373BD8"/>
    <w:rsid w:val="004936ED"/>
    <w:rsid w:val="004A50A0"/>
    <w:rsid w:val="00513AF3"/>
    <w:rsid w:val="006752DB"/>
    <w:rsid w:val="006C3F3F"/>
    <w:rsid w:val="0071607B"/>
    <w:rsid w:val="007726D0"/>
    <w:rsid w:val="007B10D6"/>
    <w:rsid w:val="007B7141"/>
    <w:rsid w:val="007C67A3"/>
    <w:rsid w:val="00802B5B"/>
    <w:rsid w:val="008266AC"/>
    <w:rsid w:val="00834EEB"/>
    <w:rsid w:val="008637DC"/>
    <w:rsid w:val="008E2FB9"/>
    <w:rsid w:val="00A32E25"/>
    <w:rsid w:val="00A35D62"/>
    <w:rsid w:val="00AC32E1"/>
    <w:rsid w:val="00AD443E"/>
    <w:rsid w:val="00B32F05"/>
    <w:rsid w:val="00B96B10"/>
    <w:rsid w:val="00BD42B4"/>
    <w:rsid w:val="00DA39E7"/>
    <w:rsid w:val="00DB3BE0"/>
    <w:rsid w:val="00ED5DF7"/>
    <w:rsid w:val="00EE282E"/>
    <w:rsid w:val="00EE7D8F"/>
    <w:rsid w:val="00F43DFD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C7304"/>
  <w15:docId w15:val="{902E421F-890E-45C5-9C67-1BFD743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AD443E"/>
  </w:style>
  <w:style w:type="paragraph" w:styleId="Header">
    <w:name w:val="header"/>
    <w:basedOn w:val="Normal"/>
    <w:link w:val="HeaderChar"/>
    <w:uiPriority w:val="99"/>
    <w:unhideWhenUsed/>
    <w:rsid w:val="00AD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7D8F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7B"/>
    <w:rPr>
      <w:rFonts w:ascii="Calibri" w:eastAsia="Calibri" w:hAnsi="Calibr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2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2B4"/>
    <w:rPr>
      <w:rFonts w:ascii="Calibri" w:eastAsia="Calibri" w:hAnsi="Calibri"/>
      <w:b/>
      <w:bCs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E25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y.cornell.edu/GPSA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Richard Walroth</cp:lastModifiedBy>
  <cp:revision>2</cp:revision>
  <cp:lastPrinted>2014-09-04T16:26:00Z</cp:lastPrinted>
  <dcterms:created xsi:type="dcterms:W3CDTF">2016-02-06T21:14:00Z</dcterms:created>
  <dcterms:modified xsi:type="dcterms:W3CDTF">2016-02-06T21:14:00Z</dcterms:modified>
</cp:coreProperties>
</file>