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75781" w14:textId="77777777" w:rsidR="00A25781" w:rsidRPr="00054E2E" w:rsidRDefault="00054E2E" w:rsidP="00054E2E">
      <w:pPr>
        <w:spacing w:after="120"/>
        <w:jc w:val="center"/>
        <w:rPr>
          <w:rFonts w:eastAsia="Garamond" w:cs="Garamond"/>
          <w:bCs/>
          <w:sz w:val="44"/>
          <w:szCs w:val="44"/>
        </w:rPr>
      </w:pPr>
      <w:bookmarkStart w:id="0" w:name="_GoBack"/>
      <w:bookmarkEnd w:id="0"/>
      <w:r w:rsidRPr="00054E2E">
        <w:rPr>
          <w:rFonts w:eastAsia="Garamond" w:cs="Garamond"/>
          <w:bCs/>
          <w:sz w:val="44"/>
          <w:szCs w:val="44"/>
        </w:rPr>
        <w:t xml:space="preserve">Resolution X: </w:t>
      </w:r>
      <w:r w:rsidR="00DA6C3B">
        <w:rPr>
          <w:rFonts w:eastAsia="Garamond" w:cs="Garamond"/>
          <w:bCs/>
          <w:sz w:val="44"/>
          <w:szCs w:val="44"/>
        </w:rPr>
        <w:t>Advancing a Comprehensive Transportation Plan for the Ithaca Campus</w:t>
      </w:r>
    </w:p>
    <w:p w14:paraId="1BD4C2F6" w14:textId="49727716" w:rsidR="00054E2E" w:rsidRPr="00054E2E" w:rsidRDefault="00054E2E" w:rsidP="00054E2E">
      <w:pP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Abstract: </w:t>
      </w:r>
      <w:r w:rsidR="00D3430F" w:rsidRPr="00D3430F">
        <w:rPr>
          <w:rFonts w:eastAsia="Garamond" w:cs="Garamond"/>
          <w:bCs/>
          <w:sz w:val="24"/>
          <w:szCs w:val="24"/>
        </w:rPr>
        <w:t>This resolution calls upon Transportation Services to advance a Comprehensive Transportation Planning Study.</w:t>
      </w:r>
    </w:p>
    <w:p w14:paraId="4C481BB4" w14:textId="77777777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Sponsored by: </w:t>
      </w:r>
      <w:r w:rsidR="00DA6C3B">
        <w:rPr>
          <w:rFonts w:eastAsia="Garamond" w:cs="Garamond"/>
          <w:bCs/>
          <w:sz w:val="24"/>
          <w:szCs w:val="24"/>
        </w:rPr>
        <w:t xml:space="preserve">Kristie Mahoney, College of Human Ecology Representative; and, Laura Johnson-Kelly, Employee Welfare Committee Chair and </w:t>
      </w:r>
      <w:r w:rsidR="00DA6C3B" w:rsidRPr="00DA6C3B">
        <w:rPr>
          <w:rFonts w:eastAsia="Garamond" w:cs="Garamond"/>
          <w:bCs/>
          <w:sz w:val="24"/>
          <w:szCs w:val="24"/>
        </w:rPr>
        <w:t xml:space="preserve">Library and Museum </w:t>
      </w:r>
      <w:r w:rsidR="00B15D3D" w:rsidRPr="00DA6C3B">
        <w:rPr>
          <w:rFonts w:eastAsia="Garamond" w:cs="Garamond"/>
          <w:bCs/>
          <w:sz w:val="24"/>
          <w:szCs w:val="24"/>
        </w:rPr>
        <w:t>Representative</w:t>
      </w:r>
    </w:p>
    <w:p w14:paraId="055B950C" w14:textId="24A367CA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>Reviewed by:</w:t>
      </w:r>
      <w:r w:rsidR="00DA6C3B">
        <w:rPr>
          <w:rFonts w:eastAsia="Garamond" w:cs="Garamond"/>
          <w:b/>
          <w:bCs/>
          <w:i/>
          <w:sz w:val="24"/>
          <w:szCs w:val="24"/>
        </w:rPr>
        <w:t xml:space="preserve"> </w:t>
      </w:r>
      <w:r w:rsidR="00DA6C3B">
        <w:rPr>
          <w:rFonts w:eastAsia="Garamond" w:cs="Garamond"/>
          <w:bCs/>
          <w:sz w:val="24"/>
          <w:szCs w:val="24"/>
        </w:rPr>
        <w:t>E</w:t>
      </w:r>
      <w:r w:rsidR="00DA6C3B" w:rsidRPr="00DA6C3B">
        <w:rPr>
          <w:rFonts w:eastAsia="Garamond" w:cs="Garamond"/>
          <w:bCs/>
          <w:sz w:val="24"/>
          <w:szCs w:val="24"/>
        </w:rPr>
        <w:t>mployee Welfare Committee</w:t>
      </w:r>
      <w:r>
        <w:rPr>
          <w:rFonts w:eastAsia="Garamond" w:cs="Garamond"/>
          <w:bCs/>
          <w:sz w:val="24"/>
          <w:szCs w:val="24"/>
        </w:rPr>
        <w:t xml:space="preserve">, </w:t>
      </w:r>
      <w:r w:rsidR="00EF7FFB">
        <w:rPr>
          <w:rFonts w:eastAsia="Garamond" w:cs="Garamond"/>
          <w:bCs/>
          <w:sz w:val="24"/>
          <w:szCs w:val="24"/>
        </w:rPr>
        <w:t>October 16, 2017</w:t>
      </w:r>
    </w:p>
    <w:p w14:paraId="6E5AFDC9" w14:textId="6FC27AFE" w:rsidR="00535F28" w:rsidRDefault="00B038A0" w:rsidP="00B038A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535F28" w:rsidRPr="00553113">
        <w:rPr>
          <w:sz w:val="24"/>
          <w:szCs w:val="24"/>
        </w:rPr>
        <w:t xml:space="preserve">the 2008 Cornell Master Plan for the Ithaca Campus articulated 10 key objectives related to </w:t>
      </w:r>
      <w:r w:rsidR="00535F28" w:rsidRPr="00801DAB">
        <w:rPr>
          <w:sz w:val="24"/>
          <w:szCs w:val="24"/>
        </w:rPr>
        <w:t>Transportation</w:t>
      </w:r>
      <w:r w:rsidR="00535F28" w:rsidRPr="00553113">
        <w:rPr>
          <w:sz w:val="24"/>
          <w:szCs w:val="24"/>
        </w:rPr>
        <w:t xml:space="preserve"> and Circulation and detailed several enhancements to campus streets</w:t>
      </w:r>
      <w:r w:rsidR="00535F28" w:rsidRPr="00801DAB">
        <w:rPr>
          <w:sz w:val="24"/>
          <w:szCs w:val="24"/>
        </w:rPr>
        <w:t>; and</w:t>
      </w:r>
    </w:p>
    <w:p w14:paraId="787897A8" w14:textId="4C664DCA" w:rsidR="00535F28" w:rsidRDefault="00535F2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Pr="00553113">
        <w:rPr>
          <w:sz w:val="24"/>
          <w:szCs w:val="24"/>
        </w:rPr>
        <w:t>many of the objectives set forth in the 2008 Cornell Master Plan have not been advance</w:t>
      </w:r>
      <w:r w:rsidR="00B8788D">
        <w:rPr>
          <w:sz w:val="24"/>
          <w:szCs w:val="24"/>
        </w:rPr>
        <w:t>d</w:t>
      </w:r>
      <w:r w:rsidRPr="00553113">
        <w:rPr>
          <w:sz w:val="24"/>
          <w:szCs w:val="24"/>
        </w:rPr>
        <w:t xml:space="preserve"> in total </w:t>
      </w:r>
      <w:r w:rsidR="00801DAB">
        <w:rPr>
          <w:sz w:val="24"/>
          <w:szCs w:val="24"/>
        </w:rPr>
        <w:t>while</w:t>
      </w:r>
      <w:r w:rsidRPr="00553113">
        <w:rPr>
          <w:sz w:val="24"/>
          <w:szCs w:val="24"/>
        </w:rPr>
        <w:t xml:space="preserve"> the campus population is increasing and available parking is decreasing.</w:t>
      </w:r>
    </w:p>
    <w:p w14:paraId="257199DE" w14:textId="2BD1741F" w:rsidR="00B038A0" w:rsidRPr="00553113" w:rsidRDefault="00535F2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AC6E11" w:rsidRPr="00801DAB">
        <w:rPr>
          <w:sz w:val="24"/>
          <w:szCs w:val="24"/>
        </w:rPr>
        <w:t>the last comprehensive transportation study occurred in 2008 (t-GEIS)</w:t>
      </w:r>
      <w:r w:rsidR="00AE6EE2" w:rsidRPr="00801DAB">
        <w:rPr>
          <w:sz w:val="24"/>
          <w:szCs w:val="24"/>
        </w:rPr>
        <w:t>; and</w:t>
      </w:r>
      <w:r w:rsidR="00B038A0" w:rsidRPr="00553113">
        <w:rPr>
          <w:b/>
          <w:sz w:val="24"/>
          <w:szCs w:val="24"/>
        </w:rPr>
        <w:t xml:space="preserve"> </w:t>
      </w:r>
    </w:p>
    <w:p w14:paraId="1228AF72" w14:textId="6C7740A6" w:rsidR="00AC6E11" w:rsidRPr="00801DAB" w:rsidRDefault="00B038A0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AC6E11" w:rsidRPr="00801DAB">
        <w:rPr>
          <w:sz w:val="24"/>
          <w:szCs w:val="24"/>
        </w:rPr>
        <w:t xml:space="preserve">in 2013 the GPSA adopted </w:t>
      </w:r>
      <w:r w:rsidR="00345FDB" w:rsidRPr="00801DAB">
        <w:rPr>
          <w:sz w:val="24"/>
          <w:szCs w:val="24"/>
        </w:rPr>
        <w:t>Resolution</w:t>
      </w:r>
      <w:r w:rsidR="00AC6E11" w:rsidRPr="00801DAB">
        <w:rPr>
          <w:sz w:val="24"/>
          <w:szCs w:val="24"/>
        </w:rPr>
        <w:t xml:space="preserve"> 20: A resolution </w:t>
      </w:r>
      <w:r w:rsidR="00345FDB" w:rsidRPr="00801DAB">
        <w:rPr>
          <w:sz w:val="24"/>
          <w:szCs w:val="24"/>
        </w:rPr>
        <w:t>regarding</w:t>
      </w:r>
      <w:r w:rsidR="00AC6E11" w:rsidRPr="00801DAB">
        <w:rPr>
          <w:sz w:val="24"/>
          <w:szCs w:val="24"/>
        </w:rPr>
        <w:t xml:space="preserve"> housing, </w:t>
      </w:r>
      <w:r w:rsidR="00345FDB" w:rsidRPr="00801DAB">
        <w:rPr>
          <w:sz w:val="24"/>
          <w:szCs w:val="24"/>
        </w:rPr>
        <w:t>transportation</w:t>
      </w:r>
      <w:r w:rsidR="00AC6E11" w:rsidRPr="00801DAB">
        <w:rPr>
          <w:sz w:val="24"/>
          <w:szCs w:val="24"/>
        </w:rPr>
        <w:t>, and family services</w:t>
      </w:r>
      <w:r w:rsidR="00AE6EE2" w:rsidRPr="00801DAB">
        <w:rPr>
          <w:sz w:val="24"/>
          <w:szCs w:val="24"/>
        </w:rPr>
        <w:t>; and</w:t>
      </w:r>
    </w:p>
    <w:p w14:paraId="3DDF5B11" w14:textId="1D608488" w:rsidR="00B038A0" w:rsidRPr="00553113" w:rsidRDefault="00AC6E11" w:rsidP="00B038A0">
      <w:pPr>
        <w:spacing w:after="120"/>
        <w:rPr>
          <w:b/>
          <w:sz w:val="24"/>
          <w:szCs w:val="24"/>
        </w:rPr>
      </w:pPr>
      <w:r w:rsidRPr="00AC6E11">
        <w:rPr>
          <w:b/>
          <w:sz w:val="24"/>
          <w:szCs w:val="24"/>
        </w:rPr>
        <w:t>Whereas</w:t>
      </w:r>
      <w:r w:rsidRPr="00553113">
        <w:rPr>
          <w:b/>
          <w:sz w:val="24"/>
          <w:szCs w:val="24"/>
        </w:rPr>
        <w:t xml:space="preserve">, </w:t>
      </w:r>
      <w:r w:rsidRPr="00801DAB">
        <w:rPr>
          <w:sz w:val="24"/>
          <w:szCs w:val="24"/>
        </w:rPr>
        <w:t xml:space="preserve">in 2015 the SA adopted Resolution 55: </w:t>
      </w:r>
      <w:r w:rsidR="00345FDB" w:rsidRPr="00801DAB">
        <w:rPr>
          <w:sz w:val="24"/>
          <w:szCs w:val="24"/>
        </w:rPr>
        <w:t>Improving Bicycle and Pedestrian Strategy at Cornell</w:t>
      </w:r>
      <w:r w:rsidR="00AE6EE2" w:rsidRPr="00801DAB">
        <w:rPr>
          <w:sz w:val="24"/>
          <w:szCs w:val="24"/>
        </w:rPr>
        <w:t>; and</w:t>
      </w:r>
    </w:p>
    <w:p w14:paraId="53F8B4D2" w14:textId="4B37C32D" w:rsidR="00F532EE" w:rsidRPr="00F532EE" w:rsidRDefault="00F532EE" w:rsidP="00345FD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AE6EE2">
        <w:rPr>
          <w:sz w:val="24"/>
          <w:szCs w:val="24"/>
        </w:rPr>
        <w:t xml:space="preserve">in September 2017, </w:t>
      </w:r>
      <w:r>
        <w:rPr>
          <w:sz w:val="24"/>
          <w:szCs w:val="24"/>
        </w:rPr>
        <w:t xml:space="preserve">Transportation Services released an RFP for a Parking </w:t>
      </w:r>
      <w:r w:rsidR="00535F28">
        <w:rPr>
          <w:sz w:val="24"/>
          <w:szCs w:val="24"/>
        </w:rPr>
        <w:t xml:space="preserve">Optimization </w:t>
      </w:r>
      <w:r>
        <w:rPr>
          <w:sz w:val="24"/>
          <w:szCs w:val="24"/>
        </w:rPr>
        <w:t xml:space="preserve">Study to be completed by </w:t>
      </w:r>
      <w:r w:rsidR="008F684B">
        <w:rPr>
          <w:sz w:val="24"/>
          <w:szCs w:val="24"/>
        </w:rPr>
        <w:t>Fall</w:t>
      </w:r>
      <w:r>
        <w:rPr>
          <w:sz w:val="24"/>
          <w:szCs w:val="24"/>
        </w:rPr>
        <w:t xml:space="preserve"> 2018</w:t>
      </w:r>
      <w:r w:rsidR="00AE6EE2">
        <w:rPr>
          <w:sz w:val="24"/>
          <w:szCs w:val="24"/>
        </w:rPr>
        <w:t>; and</w:t>
      </w:r>
    </w:p>
    <w:p w14:paraId="073DCEC9" w14:textId="0508A6E7" w:rsidR="000F0A8B" w:rsidRPr="008F684B" w:rsidRDefault="000F0A8B" w:rsidP="00345FD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 w:rsidR="008F684B" w:rsidRPr="008F684B">
        <w:rPr>
          <w:sz w:val="24"/>
          <w:szCs w:val="24"/>
        </w:rPr>
        <w:t>due to</w:t>
      </w:r>
      <w:r w:rsidR="008F684B">
        <w:rPr>
          <w:sz w:val="24"/>
          <w:szCs w:val="24"/>
        </w:rPr>
        <w:t xml:space="preserve"> </w:t>
      </w:r>
      <w:r w:rsidR="00216A21">
        <w:rPr>
          <w:sz w:val="24"/>
          <w:szCs w:val="24"/>
        </w:rPr>
        <w:t>vehicle</w:t>
      </w:r>
      <w:r w:rsidR="008F684B">
        <w:rPr>
          <w:sz w:val="24"/>
          <w:szCs w:val="24"/>
        </w:rPr>
        <w:t>/pedestrian/bicycle crash data, a number of campus intersections have been identified as high conflict zones; and</w:t>
      </w:r>
    </w:p>
    <w:p w14:paraId="6932971C" w14:textId="24C43E20" w:rsidR="00345FDB" w:rsidRPr="00AC6E11" w:rsidRDefault="00345FDB" w:rsidP="00345FD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staff </w:t>
      </w:r>
      <w:r w:rsidR="0011130D" w:rsidRPr="0011130D">
        <w:rPr>
          <w:sz w:val="24"/>
          <w:szCs w:val="24"/>
        </w:rPr>
        <w:t xml:space="preserve">and retirees </w:t>
      </w:r>
      <w:r>
        <w:rPr>
          <w:sz w:val="24"/>
          <w:szCs w:val="24"/>
        </w:rPr>
        <w:t xml:space="preserve">continue to voice </w:t>
      </w:r>
      <w:r w:rsidR="008F684B">
        <w:rPr>
          <w:sz w:val="24"/>
          <w:szCs w:val="24"/>
        </w:rPr>
        <w:t xml:space="preserve">transportation, </w:t>
      </w:r>
      <w:r>
        <w:rPr>
          <w:sz w:val="24"/>
          <w:szCs w:val="24"/>
        </w:rPr>
        <w:t>parking</w:t>
      </w:r>
      <w:r w:rsidR="008F684B">
        <w:rPr>
          <w:sz w:val="24"/>
          <w:szCs w:val="24"/>
        </w:rPr>
        <w:t>, and campus access</w:t>
      </w:r>
      <w:r>
        <w:rPr>
          <w:sz w:val="24"/>
          <w:szCs w:val="24"/>
        </w:rPr>
        <w:t xml:space="preserve"> concerns to, from, and around </w:t>
      </w:r>
      <w:r w:rsidR="00F532EE">
        <w:rPr>
          <w:sz w:val="24"/>
          <w:szCs w:val="24"/>
        </w:rPr>
        <w:t xml:space="preserve">the Ithaca </w:t>
      </w:r>
      <w:r>
        <w:rPr>
          <w:sz w:val="24"/>
          <w:szCs w:val="24"/>
        </w:rPr>
        <w:t>campus</w:t>
      </w:r>
      <w:r w:rsidR="00AE6EE2">
        <w:rPr>
          <w:sz w:val="24"/>
          <w:szCs w:val="24"/>
        </w:rPr>
        <w:t>; and</w:t>
      </w:r>
    </w:p>
    <w:p w14:paraId="54DBFFD0" w14:textId="594C121C" w:rsidR="00B038A0" w:rsidRDefault="00B038A0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therefore resolved, </w:t>
      </w:r>
      <w:r w:rsidR="00E85A5E" w:rsidRPr="00553113">
        <w:rPr>
          <w:sz w:val="24"/>
          <w:szCs w:val="24"/>
        </w:rPr>
        <w:t xml:space="preserve">the </w:t>
      </w:r>
      <w:r w:rsidR="008F684B">
        <w:rPr>
          <w:sz w:val="24"/>
          <w:szCs w:val="24"/>
        </w:rPr>
        <w:t>Employee Assembly calls upon</w:t>
      </w:r>
      <w:r w:rsidR="00E85A5E">
        <w:rPr>
          <w:b/>
          <w:sz w:val="24"/>
          <w:szCs w:val="24"/>
        </w:rPr>
        <w:t xml:space="preserve"> </w:t>
      </w:r>
      <w:r w:rsidR="00345FDB">
        <w:rPr>
          <w:sz w:val="24"/>
          <w:szCs w:val="24"/>
        </w:rPr>
        <w:t>Transportation Services</w:t>
      </w:r>
      <w:r w:rsidR="00AE6EE2">
        <w:rPr>
          <w:sz w:val="24"/>
          <w:szCs w:val="24"/>
        </w:rPr>
        <w:t xml:space="preserve"> </w:t>
      </w:r>
      <w:r w:rsidR="00345FDB">
        <w:rPr>
          <w:sz w:val="24"/>
          <w:szCs w:val="24"/>
        </w:rPr>
        <w:t xml:space="preserve">to advance a Comprehensive </w:t>
      </w:r>
      <w:r w:rsidR="00F532EE">
        <w:rPr>
          <w:sz w:val="24"/>
          <w:szCs w:val="24"/>
        </w:rPr>
        <w:t>Transportation Planning S</w:t>
      </w:r>
      <w:r w:rsidR="00345FDB">
        <w:rPr>
          <w:sz w:val="24"/>
          <w:szCs w:val="24"/>
        </w:rPr>
        <w:t>tudy</w:t>
      </w:r>
      <w:r w:rsidR="00F532EE">
        <w:rPr>
          <w:sz w:val="24"/>
          <w:szCs w:val="24"/>
        </w:rPr>
        <w:t xml:space="preserve"> </w:t>
      </w:r>
      <w:r w:rsidR="008F684B">
        <w:rPr>
          <w:sz w:val="24"/>
          <w:szCs w:val="24"/>
        </w:rPr>
        <w:t xml:space="preserve">beginning in Spring 2019 for the Ithaca campus, including the city of Ithaca and neighboring counties within the employee commuting range, </w:t>
      </w:r>
      <w:r w:rsidR="00E85A5E">
        <w:rPr>
          <w:sz w:val="24"/>
          <w:szCs w:val="24"/>
        </w:rPr>
        <w:t>that holistically approaches transportation</w:t>
      </w:r>
      <w:r w:rsidR="008F684B">
        <w:rPr>
          <w:sz w:val="24"/>
          <w:szCs w:val="24"/>
        </w:rPr>
        <w:t xml:space="preserve">, circulation, </w:t>
      </w:r>
      <w:r w:rsidR="00535F28">
        <w:rPr>
          <w:sz w:val="24"/>
          <w:szCs w:val="24"/>
        </w:rPr>
        <w:t>parking</w:t>
      </w:r>
      <w:r w:rsidR="008F684B">
        <w:rPr>
          <w:sz w:val="24"/>
          <w:szCs w:val="24"/>
        </w:rPr>
        <w:t>,</w:t>
      </w:r>
      <w:r w:rsidR="003D1FF6">
        <w:rPr>
          <w:sz w:val="24"/>
          <w:szCs w:val="24"/>
        </w:rPr>
        <w:t xml:space="preserve"> safety</w:t>
      </w:r>
      <w:r w:rsidR="008F684B">
        <w:rPr>
          <w:sz w:val="24"/>
          <w:szCs w:val="24"/>
        </w:rPr>
        <w:t xml:space="preserve"> and campus access</w:t>
      </w:r>
      <w:r w:rsidR="003D1FF6">
        <w:rPr>
          <w:sz w:val="24"/>
          <w:szCs w:val="24"/>
        </w:rPr>
        <w:t>.</w:t>
      </w:r>
      <w:r w:rsidRPr="00B038A0">
        <w:rPr>
          <w:sz w:val="24"/>
          <w:szCs w:val="24"/>
        </w:rPr>
        <w:t xml:space="preserve"> </w:t>
      </w:r>
    </w:p>
    <w:p w14:paraId="16F1A4F5" w14:textId="7947E04E" w:rsidR="00D66539" w:rsidRDefault="00B038A0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Be it further resolved, </w:t>
      </w:r>
      <w:r w:rsidR="00F532EE" w:rsidRPr="00F532EE">
        <w:rPr>
          <w:sz w:val="24"/>
          <w:szCs w:val="24"/>
        </w:rPr>
        <w:t xml:space="preserve">the Employee Assembly will partner with Transportation Services </w:t>
      </w:r>
      <w:r w:rsidR="00F532EE">
        <w:rPr>
          <w:sz w:val="24"/>
          <w:szCs w:val="24"/>
        </w:rPr>
        <w:t xml:space="preserve">through the Transportation Taskforce </w:t>
      </w:r>
      <w:r w:rsidR="00F532EE" w:rsidRPr="00F532EE">
        <w:rPr>
          <w:sz w:val="24"/>
          <w:szCs w:val="24"/>
        </w:rPr>
        <w:t xml:space="preserve">to </w:t>
      </w:r>
      <w:r w:rsidR="00F532EE">
        <w:rPr>
          <w:sz w:val="24"/>
          <w:szCs w:val="24"/>
        </w:rPr>
        <w:t xml:space="preserve">actively </w:t>
      </w:r>
      <w:r w:rsidR="00F532EE" w:rsidRPr="00F532EE">
        <w:rPr>
          <w:sz w:val="24"/>
          <w:szCs w:val="24"/>
        </w:rPr>
        <w:t xml:space="preserve">support the study and encourage employee </w:t>
      </w:r>
      <w:r w:rsidR="00216A21">
        <w:rPr>
          <w:sz w:val="24"/>
          <w:szCs w:val="24"/>
        </w:rPr>
        <w:t xml:space="preserve">and retiree </w:t>
      </w:r>
      <w:r w:rsidR="00F532EE" w:rsidRPr="00F532EE">
        <w:rPr>
          <w:sz w:val="24"/>
          <w:szCs w:val="24"/>
        </w:rPr>
        <w:t>engagement and feedback</w:t>
      </w:r>
      <w:r w:rsidR="00375F1E">
        <w:rPr>
          <w:sz w:val="24"/>
          <w:szCs w:val="24"/>
        </w:rPr>
        <w:t xml:space="preserve"> to ensure a thorough assessment of employee concerns</w:t>
      </w:r>
      <w:r w:rsidRPr="00F532EE">
        <w:rPr>
          <w:sz w:val="24"/>
          <w:szCs w:val="24"/>
        </w:rPr>
        <w:t>.</w:t>
      </w:r>
    </w:p>
    <w:p w14:paraId="4F520F0A" w14:textId="7FCFED2F" w:rsidR="00B038A0" w:rsidRDefault="00B038A0" w:rsidP="00B038A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Be it finally resolved, </w:t>
      </w:r>
      <w:r w:rsidR="00E85A5E">
        <w:rPr>
          <w:sz w:val="24"/>
          <w:szCs w:val="24"/>
        </w:rPr>
        <w:t xml:space="preserve">the results of the study will be </w:t>
      </w:r>
      <w:r w:rsidR="007F2035">
        <w:rPr>
          <w:sz w:val="24"/>
          <w:szCs w:val="24"/>
        </w:rPr>
        <w:t xml:space="preserve">shared </w:t>
      </w:r>
      <w:r w:rsidR="008F684B">
        <w:rPr>
          <w:sz w:val="24"/>
          <w:szCs w:val="24"/>
        </w:rPr>
        <w:t xml:space="preserve">initially </w:t>
      </w:r>
      <w:r w:rsidR="007F2035">
        <w:rPr>
          <w:sz w:val="24"/>
          <w:szCs w:val="24"/>
        </w:rPr>
        <w:t xml:space="preserve">with the Employee Assembly and then </w:t>
      </w:r>
      <w:r w:rsidR="00E85A5E">
        <w:rPr>
          <w:sz w:val="24"/>
          <w:szCs w:val="24"/>
        </w:rPr>
        <w:t xml:space="preserve">publically with the employee community in </w:t>
      </w:r>
      <w:r w:rsidR="008F684B">
        <w:rPr>
          <w:sz w:val="24"/>
          <w:szCs w:val="24"/>
        </w:rPr>
        <w:t>2020</w:t>
      </w:r>
      <w:r w:rsidR="00E85A5E">
        <w:rPr>
          <w:sz w:val="24"/>
          <w:szCs w:val="24"/>
        </w:rPr>
        <w:t>, and any subsequent recommendations reviewed by the Employee Assembly.</w:t>
      </w:r>
    </w:p>
    <w:p w14:paraId="1A17C9C7" w14:textId="77777777" w:rsidR="00B038A0" w:rsidRDefault="00B038A0" w:rsidP="00B038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DA49449" w14:textId="77777777" w:rsidR="00AC6E11" w:rsidRDefault="00AC6E11" w:rsidP="00B038A0">
      <w:pPr>
        <w:spacing w:after="120"/>
        <w:rPr>
          <w:sz w:val="24"/>
          <w:szCs w:val="24"/>
        </w:rPr>
      </w:pPr>
    </w:p>
    <w:p w14:paraId="4DD988D0" w14:textId="5544BA00" w:rsidR="00B038A0" w:rsidRDefault="00C03837" w:rsidP="00B038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Transportation Taskforce Members</w:t>
      </w:r>
    </w:p>
    <w:p w14:paraId="7727944B" w14:textId="38B1813D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Kristie Mahoney</w:t>
      </w:r>
    </w:p>
    <w:p w14:paraId="7B5DF03C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Dustin Darnell</w:t>
      </w:r>
    </w:p>
    <w:p w14:paraId="556459D7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Kevin Fitch</w:t>
      </w:r>
    </w:p>
    <w:p w14:paraId="469D0AE8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Laura Johnson-Kelly</w:t>
      </w:r>
    </w:p>
    <w:p w14:paraId="20DB6E1F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Kathy Sheils</w:t>
      </w:r>
    </w:p>
    <w:p w14:paraId="447105F2" w14:textId="1D1C4D3E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Sue Wilcox</w:t>
      </w:r>
    </w:p>
    <w:p w14:paraId="52C08E39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Joey Gates</w:t>
      </w:r>
    </w:p>
    <w:p w14:paraId="0926C3DF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Terry Mingle</w:t>
      </w:r>
    </w:p>
    <w:p w14:paraId="732703DE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Hei Hei Depew</w:t>
      </w:r>
    </w:p>
    <w:p w14:paraId="531F6998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Laurie Miller</w:t>
      </w:r>
    </w:p>
    <w:p w14:paraId="0B9581B1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Kathy Carpenter</w:t>
      </w:r>
    </w:p>
    <w:p w14:paraId="43CE6179" w14:textId="77777777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Travis Stelick</w:t>
      </w:r>
    </w:p>
    <w:p w14:paraId="3EFDE2C4" w14:textId="5F7E3D24" w:rsidR="00C03837" w:rsidRPr="00553113" w:rsidRDefault="00C03837" w:rsidP="00553113">
      <w:pPr>
        <w:spacing w:line="240" w:lineRule="auto"/>
        <w:ind w:right="-180"/>
        <w:rPr>
          <w:sz w:val="24"/>
          <w:szCs w:val="24"/>
        </w:rPr>
      </w:pPr>
      <w:r w:rsidRPr="00553113">
        <w:rPr>
          <w:sz w:val="24"/>
          <w:szCs w:val="24"/>
        </w:rPr>
        <w:t>Hurf Sheldon</w:t>
      </w:r>
    </w:p>
    <w:p w14:paraId="057E8FAE" w14:textId="77777777" w:rsidR="00C03837" w:rsidRPr="00553113" w:rsidRDefault="00C03837" w:rsidP="00553113">
      <w:pPr>
        <w:spacing w:line="240" w:lineRule="auto"/>
        <w:ind w:right="-360"/>
        <w:rPr>
          <w:sz w:val="24"/>
          <w:szCs w:val="24"/>
        </w:rPr>
      </w:pPr>
      <w:r w:rsidRPr="00553113">
        <w:rPr>
          <w:sz w:val="24"/>
          <w:szCs w:val="24"/>
        </w:rPr>
        <w:t>Bridgette Brady</w:t>
      </w:r>
    </w:p>
    <w:p w14:paraId="040FD8B0" w14:textId="77777777" w:rsidR="00C03837" w:rsidRPr="00553113" w:rsidRDefault="00C03837" w:rsidP="00553113">
      <w:pPr>
        <w:spacing w:line="240" w:lineRule="auto"/>
        <w:ind w:right="-360"/>
        <w:rPr>
          <w:sz w:val="24"/>
          <w:szCs w:val="24"/>
        </w:rPr>
      </w:pPr>
      <w:r w:rsidRPr="00553113">
        <w:rPr>
          <w:sz w:val="24"/>
          <w:szCs w:val="24"/>
        </w:rPr>
        <w:t>Gary Cremeens</w:t>
      </w:r>
    </w:p>
    <w:p w14:paraId="2D627AAA" w14:textId="48A08457" w:rsidR="00A63959" w:rsidRPr="00553113" w:rsidRDefault="00C03837" w:rsidP="00553113">
      <w:pPr>
        <w:spacing w:line="240" w:lineRule="auto"/>
        <w:ind w:right="-360"/>
        <w:rPr>
          <w:rStyle w:val="LineNumber"/>
          <w:rFonts w:ascii="Calibri" w:hAnsi="Calibri"/>
        </w:rPr>
      </w:pPr>
      <w:r w:rsidRPr="00553113">
        <w:rPr>
          <w:sz w:val="24"/>
          <w:szCs w:val="24"/>
        </w:rPr>
        <w:t>Reed Heugerich</w:t>
      </w:r>
    </w:p>
    <w:sectPr w:rsidR="00A63959" w:rsidRPr="00553113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96545" w14:textId="77777777" w:rsidR="007E3D81" w:rsidRDefault="007E3D81" w:rsidP="00233128">
      <w:pPr>
        <w:spacing w:line="240" w:lineRule="auto"/>
      </w:pPr>
      <w:r>
        <w:separator/>
      </w:r>
    </w:p>
  </w:endnote>
  <w:endnote w:type="continuationSeparator" w:id="0">
    <w:p w14:paraId="147B5B4A" w14:textId="77777777" w:rsidR="007E3D81" w:rsidRDefault="007E3D81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BBD18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51C2217A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1F8B2468" w14:textId="57D4639F" w:rsidR="00830C73" w:rsidRPr="00830C73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C116D">
      <w:rPr>
        <w:rFonts w:eastAsia="Times New Roman" w:cs="Times New Roman"/>
        <w:color w:val="auto"/>
        <w:sz w:val="20"/>
        <w:szCs w:val="24"/>
      </w:rPr>
      <w:t xml:space="preserve">Page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A40E6A">
      <w:rPr>
        <w:rFonts w:eastAsia="Times New Roman" w:cs="Times New Roman"/>
        <w:b/>
        <w:noProof/>
        <w:color w:val="auto"/>
        <w:sz w:val="20"/>
        <w:szCs w:val="24"/>
      </w:rPr>
      <w:t>1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  <w:r w:rsidRPr="00BC116D">
      <w:rPr>
        <w:rFonts w:eastAsia="Times New Roman" w:cs="Times New Roman"/>
        <w:color w:val="auto"/>
        <w:sz w:val="20"/>
        <w:szCs w:val="24"/>
      </w:rPr>
      <w:t xml:space="preserve"> of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A40E6A">
      <w:rPr>
        <w:rFonts w:eastAsia="Times New Roman" w:cs="Times New Roman"/>
        <w:b/>
        <w:noProof/>
        <w:color w:val="auto"/>
        <w:sz w:val="20"/>
        <w:szCs w:val="24"/>
      </w:rPr>
      <w:t>2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DE64D" w14:textId="77777777" w:rsidR="007E3D81" w:rsidRDefault="007E3D81" w:rsidP="00233128">
      <w:pPr>
        <w:spacing w:line="240" w:lineRule="auto"/>
      </w:pPr>
      <w:r>
        <w:separator/>
      </w:r>
    </w:p>
  </w:footnote>
  <w:footnote w:type="continuationSeparator" w:id="0">
    <w:p w14:paraId="5BEA29D8" w14:textId="77777777" w:rsidR="007E3D81" w:rsidRDefault="007E3D81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634F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5CD99" wp14:editId="7C0D21FF">
          <wp:simplePos x="0" y="0"/>
          <wp:positionH relativeFrom="page">
            <wp:posOffset>457200</wp:posOffset>
          </wp:positionH>
          <wp:positionV relativeFrom="page">
            <wp:posOffset>461913</wp:posOffset>
          </wp:positionV>
          <wp:extent cx="2432304" cy="732111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73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DC2D0" w14:textId="77777777" w:rsidR="00D66539" w:rsidRDefault="00D66539">
    <w:pPr>
      <w:pStyle w:val="Header"/>
    </w:pPr>
  </w:p>
  <w:p w14:paraId="1D277BBC" w14:textId="77777777" w:rsidR="00D66539" w:rsidRDefault="00D66539">
    <w:pPr>
      <w:pStyle w:val="Header"/>
    </w:pPr>
  </w:p>
  <w:p w14:paraId="0EC28A6E" w14:textId="77777777" w:rsidR="00D66539" w:rsidRDefault="00D66539">
    <w:pPr>
      <w:pStyle w:val="Header"/>
    </w:pPr>
  </w:p>
  <w:p w14:paraId="58455B1A" w14:textId="77777777" w:rsidR="00D66539" w:rsidRDefault="00D66539">
    <w:pPr>
      <w:pStyle w:val="Header"/>
    </w:pPr>
  </w:p>
  <w:p w14:paraId="77C4D6AC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CA00D03"/>
    <w:multiLevelType w:val="hybridMultilevel"/>
    <w:tmpl w:val="9CFE6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A7"/>
    <w:rsid w:val="00054E2E"/>
    <w:rsid w:val="000B76F2"/>
    <w:rsid w:val="000F0A8B"/>
    <w:rsid w:val="0011130D"/>
    <w:rsid w:val="002006D3"/>
    <w:rsid w:val="00216A21"/>
    <w:rsid w:val="002268DD"/>
    <w:rsid w:val="00233128"/>
    <w:rsid w:val="002E1B0E"/>
    <w:rsid w:val="00345FDB"/>
    <w:rsid w:val="00375F1E"/>
    <w:rsid w:val="00391FA7"/>
    <w:rsid w:val="003D1FF6"/>
    <w:rsid w:val="00444255"/>
    <w:rsid w:val="004C111F"/>
    <w:rsid w:val="00535F28"/>
    <w:rsid w:val="00553113"/>
    <w:rsid w:val="005A08A0"/>
    <w:rsid w:val="005D3804"/>
    <w:rsid w:val="005E5A18"/>
    <w:rsid w:val="006B2BB6"/>
    <w:rsid w:val="006B423E"/>
    <w:rsid w:val="007D4B7E"/>
    <w:rsid w:val="007E3D81"/>
    <w:rsid w:val="007F2035"/>
    <w:rsid w:val="007F6996"/>
    <w:rsid w:val="00801DAB"/>
    <w:rsid w:val="00830C73"/>
    <w:rsid w:val="008F684B"/>
    <w:rsid w:val="009E443F"/>
    <w:rsid w:val="009E612F"/>
    <w:rsid w:val="00A339D1"/>
    <w:rsid w:val="00A40E6A"/>
    <w:rsid w:val="00A63959"/>
    <w:rsid w:val="00AA79FB"/>
    <w:rsid w:val="00AC6E11"/>
    <w:rsid w:val="00AD593F"/>
    <w:rsid w:val="00AE6EE2"/>
    <w:rsid w:val="00B035B6"/>
    <w:rsid w:val="00B038A0"/>
    <w:rsid w:val="00B15D3D"/>
    <w:rsid w:val="00B47AC5"/>
    <w:rsid w:val="00B676E1"/>
    <w:rsid w:val="00B8788D"/>
    <w:rsid w:val="00BB4A0C"/>
    <w:rsid w:val="00BE33A7"/>
    <w:rsid w:val="00C03837"/>
    <w:rsid w:val="00C776B1"/>
    <w:rsid w:val="00C81395"/>
    <w:rsid w:val="00CE02F7"/>
    <w:rsid w:val="00D123C7"/>
    <w:rsid w:val="00D3430F"/>
    <w:rsid w:val="00D66539"/>
    <w:rsid w:val="00DA6C3B"/>
    <w:rsid w:val="00DC467C"/>
    <w:rsid w:val="00DD0E90"/>
    <w:rsid w:val="00DD7A20"/>
    <w:rsid w:val="00E85A5E"/>
    <w:rsid w:val="00EB3479"/>
    <w:rsid w:val="00EF7FFB"/>
    <w:rsid w:val="00F532EE"/>
    <w:rsid w:val="00FC2530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3EE10"/>
  <w15:chartTrackingRefBased/>
  <w15:docId w15:val="{85DAAC75-7F6F-4DE7-980C-9E786B5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B038A0"/>
    <w:rPr>
      <w:rFonts w:ascii="Garamond" w:hAnsi="Garamond"/>
    </w:rPr>
  </w:style>
  <w:style w:type="table" w:styleId="TableGrid">
    <w:name w:val="Table Grid"/>
    <w:basedOn w:val="TableNormal"/>
    <w:uiPriority w:val="39"/>
    <w:rsid w:val="00B0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7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2F7"/>
    <w:rPr>
      <w:rFonts w:ascii="Garamond" w:eastAsia="Arial" w:hAnsi="Garamond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2F7"/>
    <w:rPr>
      <w:rFonts w:ascii="Garamond" w:eastAsia="Arial" w:hAnsi="Garamond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285\AppData\Local\Temp\EA%20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 Resolution Template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Mahoney</dc:creator>
  <cp:keywords/>
  <dc:description/>
  <cp:lastModifiedBy>Laura W. Johnson-Kelly</cp:lastModifiedBy>
  <cp:revision>2</cp:revision>
  <cp:lastPrinted>2017-10-19T12:46:00Z</cp:lastPrinted>
  <dcterms:created xsi:type="dcterms:W3CDTF">2017-11-02T14:45:00Z</dcterms:created>
  <dcterms:modified xsi:type="dcterms:W3CDTF">2017-11-02T14:45:00Z</dcterms:modified>
</cp:coreProperties>
</file>