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Fonts w:eastAsia="Times New Roman" w:cs="Times New Roman"/>
          <w:sz w:val="32"/>
          <w:szCs w:val="32"/>
        </w:rPr>
        <w:t>GPSA Resolution 15:</w:t>
      </w:r>
    </w:p>
    <w:p>
      <w:pPr>
        <w:pStyle w:val="Normal"/>
        <w:spacing w:lineRule="auto" w:line="360" w:before="0" w:after="0"/>
        <w:jc w:val="center"/>
        <w:rPr/>
      </w:pPr>
      <w:r>
        <w:rPr>
          <w:rFonts w:eastAsia="Times New Roman" w:cs="Times New Roman"/>
          <w:sz w:val="32"/>
          <w:szCs w:val="32"/>
        </w:rPr>
        <w:t>Subsidizing the BRB’s 25th Anniversary Improvements</w:t>
      </w:r>
    </w:p>
    <w:p>
      <w:pPr>
        <w:pStyle w:val="Normal"/>
        <w:spacing w:lineRule="auto" w:line="360" w:before="0" w:after="0"/>
        <w:rPr/>
      </w:pPr>
      <w:r>
        <w:rPr>
          <w:rFonts w:eastAsia="Times New Roman" w:cs="Times New Roman"/>
          <w:sz w:val="24"/>
          <w:szCs w:val="24"/>
          <w:u w:val="single"/>
        </w:rPr>
        <w:t>Sponsored by</w:t>
      </w:r>
      <w:r>
        <w:rPr>
          <w:rFonts w:eastAsia="Times New Roman" w:cs="Times New Roman"/>
          <w:sz w:val="24"/>
          <w:szCs w:val="24"/>
        </w:rPr>
        <w:t>: Tyler McCann</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WHEREAS</w:t>
      </w:r>
      <w:r>
        <w:rPr>
          <w:rFonts w:eastAsia="Times New Roman" w:cs="Times New Roman"/>
          <w:sz w:val="24"/>
          <w:szCs w:val="24"/>
        </w:rPr>
        <w:t>, the Big Red Barn Graduate and Professional Student Center (BRB) celebrated its 25th anniversary in 2017; and</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WHEREAS,</w:t>
      </w:r>
      <w:r>
        <w:rPr>
          <w:rFonts w:eastAsia="Times New Roman" w:cs="Times New Roman"/>
        </w:rPr>
        <w:t xml:space="preserve"> </w:t>
      </w:r>
      <w:r>
        <w:rPr>
          <w:rFonts w:eastAsia="Times New Roman" w:cs="Times New Roman"/>
          <w:sz w:val="24"/>
          <w:szCs w:val="24"/>
        </w:rPr>
        <w:t>the BRB conducted a crowdfunding drive during the month of November to finance new additions to the Center; and</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 xml:space="preserve">WHEREAS, </w:t>
      </w:r>
      <w:r>
        <w:rPr>
          <w:rFonts w:eastAsia="Times New Roman" w:cs="Times New Roman"/>
          <w:sz w:val="24"/>
          <w:szCs w:val="24"/>
        </w:rPr>
        <w:t>the BRB raised $7,651 from the crowdfunding drive of which $5,537 was spent on a wood pellet stove; and</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WHEREAS,</w:t>
      </w:r>
      <w:r>
        <w:rPr>
          <w:rFonts w:eastAsia="Times New Roman" w:cs="Times New Roman"/>
        </w:rPr>
        <w:t xml:space="preserve"> </w:t>
      </w:r>
      <w:r>
        <w:rPr>
          <w:rFonts w:eastAsia="Times New Roman" w:cs="Times New Roman"/>
          <w:sz w:val="24"/>
          <w:szCs w:val="24"/>
        </w:rPr>
        <w:t>the president of the GPSA reached out to the BRB manager, Kris Corda, in Fall 2016 to determine how successful the fundraising drive was, and to share the possibility of financial support from the GPSA for this drive; and</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WHEREAS,</w:t>
      </w:r>
      <w:r>
        <w:rPr>
          <w:rFonts w:eastAsia="Times New Roman" w:cs="Times New Roman"/>
        </w:rPr>
        <w:t xml:space="preserve"> </w:t>
      </w:r>
      <w:r>
        <w:rPr>
          <w:rFonts w:eastAsia="Times New Roman" w:cs="Times New Roman"/>
          <w:sz w:val="24"/>
          <w:szCs w:val="24"/>
        </w:rPr>
        <w:t>two remaining improvements have not been fully funded: a piano (plus transportation), and additional bike racks (plus curb removal) adjacent to the BRB; and</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WHEREAS,</w:t>
      </w:r>
      <w:r>
        <w:rPr>
          <w:rFonts w:eastAsia="Times New Roman" w:cs="Times New Roman"/>
        </w:rPr>
        <w:t xml:space="preserve"> </w:t>
      </w:r>
      <w:r>
        <w:rPr>
          <w:rFonts w:eastAsia="Times New Roman" w:cs="Times New Roman"/>
          <w:sz w:val="24"/>
          <w:szCs w:val="24"/>
        </w:rPr>
        <w:t>Corda informed the Appropriations Committee that a baby grand piano was located in the BRB until 2014 when building renovations began. This piano was used by students, particularly during end of semester and holiday parties. The BRB paid for annual maintenance, but determined the age and condition of the previous piano did not warrant the cost of moving the piano back into the BRB upon completion of renovations; and</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WHEREAS,</w:t>
      </w:r>
      <w:r>
        <w:rPr>
          <w:rFonts w:eastAsia="Times New Roman" w:cs="Times New Roman"/>
        </w:rPr>
        <w:t xml:space="preserve"> </w:t>
      </w:r>
      <w:r>
        <w:rPr>
          <w:rFonts w:eastAsia="Times New Roman" w:cs="Times New Roman"/>
          <w:sz w:val="24"/>
          <w:szCs w:val="24"/>
        </w:rPr>
        <w:t>the Appropriations Committee agreed upon the intrinsic importance of facilitating opportunities for public arts and music, and acknowledge that this opportunity expands the range of possible activities available at the BRB to members of the graduate and professional student community; and</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WHEREAS,</w:t>
      </w:r>
      <w:r>
        <w:rPr>
          <w:rFonts w:eastAsia="Times New Roman" w:cs="Times New Roman"/>
        </w:rPr>
        <w:t xml:space="preserve"> </w:t>
      </w:r>
      <w:r>
        <w:rPr>
          <w:rFonts w:eastAsia="Times New Roman" w:cs="Times New Roman"/>
          <w:sz w:val="24"/>
          <w:szCs w:val="24"/>
        </w:rPr>
        <w:t>the BRB has received comments from students that existing bike racks at the Center are insufficient to meet current and future demand of bicyclists wanting to attend events; and</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 xml:space="preserve">WHEREAS, </w:t>
      </w:r>
      <w:r>
        <w:rPr>
          <w:rFonts w:eastAsia="Times New Roman" w:cs="Times New Roman"/>
          <w:sz w:val="24"/>
          <w:szCs w:val="24"/>
        </w:rPr>
        <w:t>incorporation of these bike racks will complement the free bike-sharing initiative, Big Red Bikes, and increase sustainable transportation options at Cornell by facilitating greater use of bicycles for transportation to, from, and on campus</w:t>
      </w:r>
      <w:r>
        <w:rPr>
          <w:rFonts w:eastAsia="Times New Roman" w:cs="Times New Roman"/>
          <w:sz w:val="24"/>
          <w:szCs w:val="24"/>
          <w:vertAlign w:val="superscript"/>
        </w:rPr>
        <w:t>1</w:t>
      </w:r>
      <w:r>
        <w:rPr>
          <w:rFonts w:eastAsia="Times New Roman" w:cs="Times New Roman"/>
          <w:sz w:val="24"/>
          <w:szCs w:val="24"/>
        </w:rPr>
        <w:t>; and</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WHEREAS,</w:t>
      </w:r>
      <w:r>
        <w:rPr>
          <w:rFonts w:eastAsia="Times New Roman" w:cs="Times New Roman"/>
        </w:rPr>
        <w:t xml:space="preserve"> </w:t>
      </w:r>
      <w:r>
        <w:rPr>
          <w:rFonts w:eastAsia="Times New Roman" w:cs="Times New Roman"/>
          <w:sz w:val="24"/>
          <w:szCs w:val="24"/>
        </w:rPr>
        <w:t>the BRB currently has $2,114 remaining from its fundraising drive to put towards these two remaining projects. The cost of the piano would be $5,000, and the cost of the bike racks would be $6,100. The estimated cost of both improvements after accounting for BRB’s balance is $8,986 (see appendix); and</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 xml:space="preserve">WHEREAS, </w:t>
      </w:r>
      <w:r>
        <w:rPr>
          <w:rFonts w:eastAsia="Times New Roman" w:cs="Times New Roman"/>
          <w:sz w:val="24"/>
          <w:szCs w:val="24"/>
        </w:rPr>
        <w:t>the Appropriations Committee discussed the interest of its members and the opinions of the assembly that the rollover funds should be actively used, and not passively held on to, for graduate and professional student community benefit; and</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WHEREAS,</w:t>
      </w:r>
      <w:r>
        <w:rPr>
          <w:rFonts w:eastAsia="Times New Roman" w:cs="Times New Roman"/>
        </w:rPr>
        <w:t xml:space="preserve"> </w:t>
      </w:r>
      <w:r>
        <w:rPr>
          <w:rFonts w:eastAsia="Times New Roman" w:cs="Times New Roman"/>
          <w:sz w:val="24"/>
          <w:szCs w:val="24"/>
        </w:rPr>
        <w:t xml:space="preserve">the GPSA rollover account stood at approximately $18,000 as of April 6th, 2017; </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bookmarkStart w:id="0" w:name="docs-internal-guid-121f4ffb-736e-439b-53bf-5b7c0ec11be4"/>
      <w:bookmarkEnd w:id="0"/>
      <w:r>
        <w:rPr>
          <w:rFonts w:eastAsia="Times New Roman" w:cs="Times New Roman"/>
          <w:b/>
          <w:i w:val="false"/>
          <w:caps w:val="false"/>
          <w:smallCaps w:val="false"/>
          <w:strike w:val="false"/>
          <w:dstrike w:val="false"/>
          <w:color w:val="000000"/>
          <w:sz w:val="24"/>
          <w:szCs w:val="24"/>
          <w:u w:val="none"/>
          <w:effect w:val="none"/>
        </w:rPr>
        <w:t xml:space="preserve">BE IT THEREFORE RESOLVED, </w:t>
      </w:r>
      <w:r>
        <w:rPr>
          <w:rFonts w:eastAsia="Times New Roman" w:cs="Times New Roman"/>
          <w:b w:val="false"/>
          <w:i w:val="false"/>
          <w:caps w:val="false"/>
          <w:smallCaps w:val="false"/>
          <w:strike w:val="false"/>
          <w:dstrike w:val="false"/>
          <w:color w:val="000000"/>
          <w:sz w:val="24"/>
          <w:szCs w:val="24"/>
          <w:u w:val="none"/>
          <w:effect w:val="none"/>
        </w:rPr>
        <w:t>that the GPSA will grant the BRB no more than $3986 for the purchase and installation of 3-4 inverted U-loops in front of the Center;</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 xml:space="preserve">BE IT FURTHER RESOLVED, </w:t>
      </w:r>
      <w:r>
        <w:rPr>
          <w:rFonts w:eastAsia="Times New Roman" w:cs="Times New Roman"/>
          <w:sz w:val="24"/>
          <w:szCs w:val="24"/>
        </w:rPr>
        <w:t>that the GPSA will grant the BRB no more than $8986 for the purchase, installation, transportation of 3-4 inverted U-loops in front of the Center and a piano in the Center;</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bookmarkStart w:id="1" w:name="__DdeLink__60_347339097"/>
      <w:r>
        <w:rPr>
          <w:rFonts w:eastAsia="Times New Roman" w:cs="Times New Roman"/>
          <w:b/>
          <w:sz w:val="24"/>
          <w:szCs w:val="24"/>
        </w:rPr>
        <w:t>BE IT FINALLY RESOLVED</w:t>
      </w:r>
      <w:r>
        <w:rPr>
          <w:rFonts w:eastAsia="Times New Roman" w:cs="Times New Roman"/>
          <w:i/>
          <w:sz w:val="24"/>
          <w:szCs w:val="24"/>
        </w:rPr>
        <w:t xml:space="preserve">, </w:t>
      </w:r>
      <w:r>
        <w:rPr>
          <w:rFonts w:eastAsia="Times New Roman" w:cs="Times New Roman"/>
          <w:sz w:val="24"/>
          <w:szCs w:val="24"/>
        </w:rPr>
        <w:t>that the GPSA recognizes and commends the Graduate School in its financial support of the the BRB through major building renovations, operations, and $6000 annually for general expenses. We strongly encourage the Graduate School to provide greater financial support during the current and any future improvement projects at the BRB like those above, which specifically</w:t>
      </w:r>
      <w:bookmarkEnd w:id="1"/>
      <w:r>
        <w:rPr>
          <w:rFonts w:eastAsia="Times New Roman" w:cs="Times New Roman"/>
          <w:sz w:val="24"/>
          <w:szCs w:val="24"/>
        </w:rPr>
        <w:t xml:space="preserve"> promote greater participation from the graduate and professional student community;</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360" w:before="0" w:after="0"/>
        <w:rPr/>
      </w:pPr>
      <w:r>
        <w:rPr>
          <w:rFonts w:eastAsia="Times New Roman" w:cs="Times New Roman"/>
          <w:b/>
          <w:sz w:val="24"/>
          <w:szCs w:val="24"/>
        </w:rPr>
        <w:t>RESPECTFULLY SUBMITTED,</w:t>
      </w:r>
    </w:p>
    <w:p>
      <w:pPr>
        <w:pStyle w:val="Normal"/>
        <w:spacing w:lineRule="auto" w:line="36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360" w:before="0" w:after="0"/>
        <w:rPr/>
      </w:pPr>
      <w:r>
        <w:rPr>
          <w:rFonts w:eastAsia="Times New Roman" w:cs="Times New Roman"/>
          <w:b/>
          <w:sz w:val="24"/>
          <w:szCs w:val="24"/>
        </w:rPr>
        <w:t>TYLER MCCANN</w:t>
      </w:r>
    </w:p>
    <w:p>
      <w:pPr>
        <w:pStyle w:val="Normal"/>
        <w:spacing w:lineRule="auto" w:line="360" w:before="0" w:after="0"/>
        <w:rPr/>
      </w:pPr>
      <w:r>
        <w:rPr>
          <w:rFonts w:eastAsia="Times New Roman" w:cs="Times New Roman"/>
          <w:sz w:val="24"/>
          <w:szCs w:val="24"/>
        </w:rPr>
        <w:t>GPSA Appropriations Committee Chair</w:t>
      </w:r>
    </w:p>
    <w:p>
      <w:pPr>
        <w:pStyle w:val="Normal"/>
        <w:pBdr>
          <w:bottom w:val="single" w:sz="2" w:space="2" w:color="000001"/>
        </w:pBdr>
        <w:spacing w:lineRule="auto" w:line="360" w:before="0" w:after="0"/>
        <w:rPr/>
      </w:pPr>
      <w:r>
        <w:rPr/>
      </w:r>
    </w:p>
    <w:p>
      <w:pPr>
        <w:pStyle w:val="Normal"/>
        <w:numPr>
          <w:ilvl w:val="0"/>
          <w:numId w:val="1"/>
        </w:numPr>
        <w:spacing w:lineRule="auto" w:line="360" w:before="0" w:after="0"/>
        <w:ind w:left="720" w:right="0" w:hanging="360"/>
        <w:contextualSpacing/>
        <w:rPr/>
      </w:pPr>
      <w:r>
        <w:rPr>
          <w:rFonts w:eastAsia="Times New Roman" w:cs="Times New Roman"/>
          <w:sz w:val="16"/>
          <w:szCs w:val="16"/>
        </w:rPr>
        <w:t>http://csc-production.s3.amazonaws.com/2014/04/15/02/46/38/230/CAPUpdate2013Roadmap2014_2015.pdf</w:t>
      </w:r>
    </w:p>
    <w:p>
      <w:pPr>
        <w:pStyle w:val="Normal"/>
        <w:spacing w:lineRule="auto" w:line="360" w:before="0" w:after="0"/>
        <w:rPr>
          <w:rFonts w:ascii="Times New Roman" w:hAnsi="Times New Roman" w:eastAsia="Times New Roman" w:cs="Times New Roman"/>
          <w:b/>
          <w:b/>
        </w:rPr>
      </w:pPr>
      <w:r>
        <w:rPr>
          <w:rFonts w:eastAsia="Times New Roman" w:cs="Times New Roman"/>
          <w:b/>
        </w:rPr>
      </w:r>
      <w:r>
        <w:br w:type="page"/>
      </w:r>
    </w:p>
    <w:p>
      <w:pPr>
        <w:pStyle w:val="Normal"/>
        <w:spacing w:lineRule="auto" w:line="360" w:before="0" w:after="0"/>
        <w:rPr/>
      </w:pPr>
      <w:r>
        <w:rPr>
          <w:rFonts w:eastAsia="Times New Roman" w:cs="Times New Roman"/>
          <w:b/>
        </w:rPr>
        <w:t>APPENDIX</w:t>
      </w:r>
    </w:p>
    <w:p>
      <w:pPr>
        <w:pStyle w:val="Normal"/>
        <w:spacing w:lineRule="auto" w:line="360" w:before="0" w:after="0"/>
        <w:rPr/>
      </w:pPr>
      <w:r>
        <w:rPr/>
        <w:drawing>
          <wp:inline distT="0" distB="0" distL="0" distR="0">
            <wp:extent cx="5911850" cy="3681095"/>
            <wp:effectExtent l="0" t="0" r="0" b="0"/>
            <wp:docPr id="1" name="image0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
                    <pic:cNvPicPr>
                      <a:picLocks noChangeAspect="1" noChangeArrowheads="1"/>
                    </pic:cNvPicPr>
                  </pic:nvPicPr>
                  <pic:blipFill>
                    <a:blip r:embed="rId2"/>
                    <a:stretch>
                      <a:fillRect/>
                    </a:stretch>
                  </pic:blipFill>
                  <pic:spPr bwMode="auto">
                    <a:xfrm>
                      <a:off x="0" y="0"/>
                      <a:ext cx="5911850" cy="3681095"/>
                    </a:xfrm>
                    <a:prstGeom prst="rect">
                      <a:avLst/>
                    </a:prstGeom>
                  </pic:spPr>
                </pic:pic>
              </a:graphicData>
            </a:graphic>
          </wp:inline>
        </w:drawing>
      </w:r>
    </w:p>
    <w:p>
      <w:pPr>
        <w:pStyle w:val="Normal"/>
        <w:spacing w:lineRule="auto" w:line="360" w:before="0" w:after="0"/>
        <w:rPr/>
      </w:pPr>
      <w:r>
        <w:rPr>
          <w:rFonts w:eastAsia="Times New Roman" w:cs="Times New Roman"/>
          <w:b/>
          <w:sz w:val="24"/>
          <w:szCs w:val="24"/>
        </w:rPr>
        <w:t>Scenario 1 - Fund both piano and bike rack. Total cost to GPSA = $8986</w:t>
      </w:r>
    </w:p>
    <w:p>
      <w:pPr>
        <w:pStyle w:val="Normal"/>
        <w:spacing w:lineRule="auto" w:line="360" w:before="0" w:after="0"/>
        <w:rPr/>
      </w:pPr>
      <w:r>
        <w:rPr>
          <w:rFonts w:eastAsia="Times New Roman" w:cs="Times New Roman"/>
          <w:b/>
          <w:sz w:val="24"/>
          <w:szCs w:val="24"/>
        </w:rPr>
        <w:t>Scenario 2 - Fund only bike rack. Total cost to GPSA = $3986</w:t>
      </w:r>
    </w:p>
    <w:sectPr>
      <w:headerReference w:type="default" r:id="rId3"/>
      <w:footerReference w:type="default" r:id="rId4"/>
      <w:type w:val="nextPage"/>
      <w:pgSz w:w="12240" w:h="15840"/>
      <w:pgMar w:left="1440" w:right="1440" w:header="720" w:top="1008" w:footer="720" w:bottom="1440" w:gutter="0"/>
      <w:lnNumType w:countBy="1" w:restart="continuous" w:distance="567"/>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roman"/>
    <w:pitch w:val="variable"/>
  </w:font>
  <w:font w:name="Helvetica">
    <w:altName w:val="Arial"/>
    <w:charset w:val="01"/>
    <w:family w:val="roman"/>
    <w:pitch w:val="variable"/>
  </w:font>
  <w:font w:name="Georgia">
    <w:charset w:val="01"/>
    <w:family w:val="roman"/>
    <w:pitch w:val="variable"/>
  </w:font>
  <w:font w:name="Cantarel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Georgia" w:hAnsi="Georgia"/>
        <w:i/>
        <w:i/>
        <w:iCs/>
        <w:sz w:val="20"/>
        <w:szCs w:val="20"/>
      </w:rPr>
    </w:pPr>
    <w:r>
      <w:rPr>
        <w:rFonts w:ascii="Georgia" w:hAnsi="Georgia"/>
        <w:i/>
        <w:iCs/>
        <w:sz w:val="20"/>
        <w:szCs w:val="20"/>
      </w:rPr>
    </w:r>
  </w:p>
  <w:p>
    <w:pPr>
      <w:pStyle w:val="Footer"/>
      <w:jc w:val="center"/>
      <w:rPr/>
    </w:pPr>
    <w:r>
      <w:rPr>
        <w:rFonts w:ascii="Georgia" w:hAnsi="Georgia"/>
        <w:b/>
        <w:bCs/>
        <w:i/>
        <w:iCs/>
        <w:sz w:val="20"/>
        <w:szCs w:val="20"/>
      </w:rPr>
      <w:t xml:space="preserve">Cornell University </w:t>
    </w:r>
    <w:r>
      <w:rPr>
        <w:rFonts w:eastAsia="Cantarell" w:cs="Cantarell" w:ascii="Cantarell" w:hAnsi="Cantarell"/>
        <w:b/>
        <w:bCs/>
        <w:i/>
        <w:iCs/>
        <w:sz w:val="20"/>
        <w:szCs w:val="20"/>
      </w:rPr>
      <w:t>•</w:t>
    </w:r>
    <w:r>
      <w:rPr>
        <w:rFonts w:ascii="Georgia" w:hAnsi="Georgia"/>
        <w:b/>
        <w:bCs/>
        <w:i/>
        <w:iCs/>
        <w:sz w:val="20"/>
        <w:szCs w:val="20"/>
      </w:rPr>
      <w:t xml:space="preserve"> Graduate &amp; Professional Student Assembly </w:t>
    </w:r>
    <w:r>
      <w:rPr>
        <w:rFonts w:eastAsia="Cantarell" w:cs="Cantarell" w:ascii="Cantarell" w:hAnsi="Cantarell"/>
        <w:b/>
        <w:bCs/>
        <w:i/>
        <w:iCs/>
        <w:sz w:val="20"/>
        <w:szCs w:val="20"/>
      </w:rPr>
      <w:t>•</w:t>
    </w:r>
    <w:r>
      <w:rPr>
        <w:rFonts w:ascii="Georgia" w:hAnsi="Georgia"/>
        <w:b/>
        <w:bCs/>
        <w:i/>
        <w:iCs/>
        <w:sz w:val="20"/>
        <w:szCs w:val="20"/>
      </w:rPr>
      <w:t xml:space="preserve"> </w:t>
    </w:r>
    <w:hyperlink r:id="rId1">
      <w:r>
        <w:rPr>
          <w:rStyle w:val="InternetLink"/>
          <w:rFonts w:ascii="Georgia" w:hAnsi="Georgia"/>
          <w:b/>
          <w:bCs/>
          <w:i/>
          <w:iCs/>
          <w:sz w:val="20"/>
          <w:szCs w:val="20"/>
        </w:rPr>
        <w:t>assembly.cornell.edu/GPSA/Home</w:t>
      </w:r>
    </w:hyperlink>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p>
    <w:pPr>
      <w:pStyle w:val="HeaderFooter"/>
      <w:ind w:left="-720" w:right="0" w:hanging="0"/>
      <w:rPr/>
    </w:pPr>
    <w:r>
      <w:rPr/>
      <w:drawing>
        <wp:inline distT="0" distB="0" distL="0" distR="0">
          <wp:extent cx="3200400" cy="793750"/>
          <wp:effectExtent l="0" t="0" r="0" b="0"/>
          <wp:docPr id="2" name="Picture 2" descr="Fabrizio:Users:Gina:Desktop:Assemblies:Branding:GPSA:OOA_GPSA_3line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abrizio:Users:Gina:Desktop:Assemblies:Branding:GPSA:OOA_GPSA_3line_4c.eps"/>
                  <pic:cNvPicPr>
                    <a:picLocks noChangeAspect="1" noChangeArrowheads="1"/>
                  </pic:cNvPicPr>
                </pic:nvPicPr>
                <pic:blipFill>
                  <a:blip r:embed="rId1"/>
                  <a:stretch>
                    <a:fillRect/>
                  </a:stretch>
                </pic:blipFill>
                <pic:spPr bwMode="auto">
                  <a:xfrm>
                    <a:off x="0" y="0"/>
                    <a:ext cx="3200400" cy="793750"/>
                  </a:xfrm>
                  <a:prstGeom prst="rect">
                    <a:avLst/>
                  </a:prstGeom>
                </pic:spPr>
              </pic:pic>
            </a:graphicData>
          </a:graphic>
        </wp:inline>
      </w:drawing>
    </w:r>
  </w:p>
  <w:p>
    <w:pPr>
      <w:pStyle w:val="HeaderFoo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en-US" w:eastAsia="en-US" w:bidi="ar-SA"/>
      </w:rPr>
    </w:rPrDefault>
    <w:pPrDefault>
      <w:pPr/>
    </w:pPrDefault>
  </w:docDefaults>
  <w:style w:type="paragraph" w:styleId="Normal">
    <w:name w:val="Normal"/>
    <w:qFormat/>
    <w:pPr>
      <w:widowControl/>
      <w:overflowPunct w:val="true"/>
      <w:bidi w:val="0"/>
      <w:jc w:val="left"/>
    </w:pPr>
    <w:rPr>
      <w:rFonts w:ascii="Times New Roman" w:hAnsi="Times New Roman" w:eastAsia="Arial Unicode MS" w:cs="Times New Roman"/>
      <w:color w:val="00000A"/>
      <w:sz w:val="24"/>
      <w:szCs w:val="24"/>
      <w:lang w:val="en-US" w:eastAsia="en-US" w:bidi="ar-SA"/>
    </w:rPr>
  </w:style>
  <w:style w:type="character" w:styleId="DefaultParagraphFont">
    <w:name w:val="Default Paragraph Font"/>
    <w:qFormat/>
    <w:rPr/>
  </w:style>
  <w:style w:type="character" w:styleId="InternetLink">
    <w:name w:val="Internet Link"/>
    <w:rPr>
      <w:u w:val="single"/>
    </w:rPr>
  </w:style>
  <w:style w:type="character" w:styleId="Linenumber">
    <w:name w:val="line number"/>
    <w:basedOn w:val="DefaultParagraphFont"/>
    <w:qFormat/>
    <w:rPr/>
  </w:style>
  <w:style w:type="character" w:styleId="HeaderChar">
    <w:name w:val="Header Char"/>
    <w:basedOn w:val="DefaultParagraphFont"/>
    <w:qFormat/>
    <w:rPr>
      <w:sz w:val="24"/>
      <w:szCs w:val="24"/>
    </w:rPr>
  </w:style>
  <w:style w:type="character" w:styleId="BalloonTextChar">
    <w:name w:val="Balloon Text Char"/>
    <w:basedOn w:val="DefaultParagraphFont"/>
    <w:qFormat/>
    <w:rPr>
      <w:rFonts w:ascii="Lucida Grande" w:hAnsi="Lucida Grande" w:cs="Lucida Grande"/>
      <w:sz w:val="18"/>
      <w:szCs w:val="18"/>
    </w:rPr>
  </w:style>
  <w:style w:type="character" w:styleId="FollowedHyperlink">
    <w:name w:val="FollowedHyperlink"/>
    <w:basedOn w:val="DefaultParagraphFont"/>
    <w:qFormat/>
    <w:rPr>
      <w:color w:val="FF00FF"/>
      <w:u w:val="single"/>
    </w:rPr>
  </w:style>
  <w:style w:type="character" w:styleId="LineNumbering">
    <w:name w:val="Line Numbering"/>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style>
  <w:style w:type="character" w:styleId="EndnoteAnchor">
    <w:name w:val="Endnote Anchor"/>
    <w:rPr>
      <w:vertAlign w:val="superscrip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Footer">
    <w:name w:val="Header &amp; Footer"/>
    <w:qFormat/>
    <w:pPr>
      <w:widowControl/>
      <w:suppressLineNumbers/>
      <w:tabs>
        <w:tab w:val="right" w:pos="9020" w:leader="none"/>
      </w:tabs>
      <w:overflowPunct w:val="true"/>
      <w:bidi w:val="0"/>
      <w:jc w:val="left"/>
    </w:pPr>
    <w:rPr>
      <w:rFonts w:ascii="Helvetica" w:hAnsi="Helvetica" w:eastAsia="Arial Unicode MS" w:cs="Arial Unicode MS"/>
      <w:color w:val="000000"/>
      <w:sz w:val="24"/>
      <w:szCs w:val="24"/>
      <w:lang w:val="en-US" w:eastAsia="en-US" w:bidi="ar-SA"/>
    </w:rPr>
  </w:style>
  <w:style w:type="paragraph" w:styleId="Footer">
    <w:name w:val="Footer"/>
    <w:basedOn w:val="Normal"/>
    <w:pPr>
      <w:widowControl/>
      <w:suppressLineNumbers/>
      <w:tabs>
        <w:tab w:val="center" w:pos="4320" w:leader="none"/>
        <w:tab w:val="right" w:pos="8640" w:leader="none"/>
      </w:tabs>
      <w:bidi w:val="0"/>
      <w:jc w:val="left"/>
    </w:pPr>
    <w:rPr>
      <w:rFonts w:cs="Arial Unicode MS"/>
      <w:color w:val="000000"/>
      <w:sz w:val="24"/>
      <w:szCs w:val="24"/>
      <w:u w:val="none"/>
    </w:rPr>
  </w:style>
  <w:style w:type="paragraph" w:styleId="Body">
    <w:name w:val="Body"/>
    <w:qFormat/>
    <w:pPr>
      <w:widowControl/>
      <w:overflowPunct w:val="true"/>
      <w:bidi w:val="0"/>
      <w:jc w:val="left"/>
    </w:pPr>
    <w:rPr>
      <w:rFonts w:ascii="Times New Roman" w:hAnsi="Times New Roman" w:eastAsia="Times New Roman" w:cs="Times New Roman"/>
      <w:color w:val="000000"/>
      <w:sz w:val="24"/>
      <w:szCs w:val="24"/>
      <w:u w:val="none"/>
      <w:lang w:val="en-US" w:eastAsia="en-US" w:bidi="ar-SA"/>
    </w:rPr>
  </w:style>
  <w:style w:type="paragraph" w:styleId="Header">
    <w:name w:val="Header"/>
    <w:basedOn w:val="Normal"/>
    <w:pPr>
      <w:suppressLineNumbers/>
      <w:tabs>
        <w:tab w:val="center" w:pos="4320" w:leader="none"/>
        <w:tab w:val="right" w:pos="8640" w:leader="none"/>
      </w:tabs>
      <w:bidi w:val="0"/>
      <w:jc w:val="left"/>
    </w:pPr>
    <w:rPr/>
  </w:style>
  <w:style w:type="paragraph" w:styleId="BalloonText">
    <w:name w:val="Balloon Text"/>
    <w:basedOn w:val="Normal"/>
    <w:qFormat/>
    <w:pPr/>
    <w:rPr>
      <w:rFonts w:ascii="Lucida Grande" w:hAnsi="Lucida Grande" w:cs="Lucida Grande"/>
      <w:sz w:val="18"/>
      <w:szCs w:val="18"/>
    </w:rPr>
  </w:style>
  <w:style w:type="paragraph" w:styleId="Footnote">
    <w:name w:val="Footnote Text"/>
    <w:basedOn w:val="Normal"/>
    <w:pPr/>
    <w:rPr/>
  </w:style>
  <w:style w:type="paragraph" w:styleId="EndnoteSymbol">
    <w:name w:val="Endnote Symbol"/>
    <w:basedOn w:val="Normal"/>
    <w:qFormat/>
    <w:pPr/>
    <w:rPr/>
  </w:style>
  <w:style w:type="paragraph" w:styleId="HorizontalLine">
    <w:name w:val="Horizontal Line"/>
    <w:basedOn w:val="Normal"/>
    <w:qFormat/>
    <w:pPr/>
    <w:rPr/>
  </w:style>
  <w:style w:type="paragraph" w:styleId="Title">
    <w:name w:val="Title"/>
    <w:basedOn w:val="Heading"/>
    <w:qFormat/>
    <w:pPr/>
    <w:rPr/>
  </w:style>
  <w:style w:type="paragraph" w:styleId="HeaderLeft">
    <w:name w:val="Header Left"/>
    <w:basedOn w:val="Normal"/>
    <w:qFormat/>
    <w:pPr>
      <w:suppressLineNumbers/>
      <w:bidi w:val="0"/>
      <w:jc w:val="left"/>
    </w:pPr>
    <w:rPr/>
  </w:style>
  <w:style w:type="paragraph" w:styleId="HeaderRight">
    <w:name w:val="Header Right"/>
    <w:basedOn w:val="Normal"/>
    <w:qFormat/>
    <w:pPr>
      <w:suppressLineNumbers/>
      <w:bidi w:val="0"/>
      <w:jc w:val="left"/>
    </w:pPr>
    <w:rPr/>
  </w:style>
  <w:style w:type="paragraph" w:styleId="Subtitle">
    <w:name w:val="Subtitle"/>
    <w:basedOn w:val="Heading"/>
    <w:qFormat/>
    <w:pPr>
      <w:suppressLineNumbers/>
      <w:bidi w:val="0"/>
      <w:spacing w:before="0" w:after="0"/>
      <w:jc w:val="left"/>
    </w:pPr>
    <w:rPr>
      <w:sz w:val="16"/>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ssembly.cornell.edu/GPSA/Home" TargetMode="Externa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Normal.dotm</Template>
  <TotalTime>70</TotalTime>
  <Application>LibreOffice/5.2.6.2$Linux_X86_64 LibreOffice_project/20$Build-2</Application>
  <Pages>3</Pages>
  <Words>600</Words>
  <Characters>3312</Characters>
  <CharactersWithSpaces>3886</CharactersWithSpaces>
  <Paragraphs>28</Paragraphs>
  <Company>Cornell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2016-10-07T18:35:00Z</dcterms:created>
  <dc:creator/>
  <dc:description/>
  <dc:language>en-US</dc:language>
  <cp:lastModifiedBy/>
  <cp:lastPrinted>2014-09-04T16:26:00Z</cp:lastPrinted>
  <dcterms:modified xsi:type="dcterms:W3CDTF">2017-04-17T10:30:36Z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Cornell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