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B5C" w:rsidRPr="002220D5" w:rsidRDefault="00E33B5C" w:rsidP="00E33B5C">
      <w:pPr>
        <w:suppressLineNumbers/>
        <w:tabs>
          <w:tab w:val="left" w:pos="360"/>
        </w:tabs>
        <w:jc w:val="center"/>
        <w:rPr>
          <w:rFonts w:ascii="Georgia" w:hAnsi="Georgia"/>
          <w:b/>
          <w:sz w:val="32"/>
        </w:rPr>
      </w:pPr>
      <w:r w:rsidRPr="003477F1">
        <w:rPr>
          <w:rFonts w:ascii="Georgia" w:hAnsi="Georgia"/>
          <w:b/>
          <w:sz w:val="32"/>
          <w:szCs w:val="32"/>
        </w:rPr>
        <w:t>U.A. Resolution #</w:t>
      </w:r>
      <w:r w:rsidR="00E2352D">
        <w:rPr>
          <w:rFonts w:ascii="Georgia" w:hAnsi="Georgia"/>
          <w:b/>
          <w:sz w:val="32"/>
          <w:szCs w:val="32"/>
        </w:rPr>
        <w:t xml:space="preserve"> 18</w:t>
      </w:r>
    </w:p>
    <w:p w:rsidR="00E33B5C" w:rsidRDefault="00E33B5C" w:rsidP="00E33B5C">
      <w:pPr>
        <w:suppressLineNumbers/>
        <w:jc w:val="center"/>
        <w:rPr>
          <w:rFonts w:ascii="Georgia" w:hAnsi="Georgia"/>
          <w:b/>
          <w:sz w:val="32"/>
          <w:szCs w:val="32"/>
        </w:rPr>
      </w:pPr>
    </w:p>
    <w:p w:rsidR="00E33B5C" w:rsidRPr="008E0DCD" w:rsidRDefault="00E33B5C" w:rsidP="00E33B5C">
      <w:pPr>
        <w:pStyle w:val="Body"/>
        <w:suppressLineNumbers/>
        <w:jc w:val="center"/>
        <w:rPr>
          <w:rFonts w:ascii="Georgia" w:eastAsia="Arial Unicode MS" w:hAnsi="Georgia"/>
          <w:b/>
          <w:color w:val="auto"/>
          <w:sz w:val="32"/>
          <w:szCs w:val="28"/>
        </w:rPr>
      </w:pPr>
      <w:bookmarkStart w:id="0" w:name="_GoBack"/>
      <w:r w:rsidRPr="008E0DCD">
        <w:rPr>
          <w:rFonts w:ascii="Georgia" w:eastAsia="Arial Unicode MS" w:hAnsi="Georgia"/>
          <w:b/>
          <w:color w:val="auto"/>
          <w:sz w:val="32"/>
          <w:szCs w:val="28"/>
        </w:rPr>
        <w:t>Call for the Development of a Cornell Comprehensive Transportation Plan</w:t>
      </w:r>
    </w:p>
    <w:bookmarkEnd w:id="0"/>
    <w:p w:rsidR="00E33B5C" w:rsidRPr="008E0DCD" w:rsidRDefault="00E33B5C" w:rsidP="00E33B5C">
      <w:pPr>
        <w:suppressLineNumbers/>
        <w:jc w:val="right"/>
        <w:rPr>
          <w:rFonts w:ascii="Georgia" w:hAnsi="Georgia"/>
        </w:rPr>
      </w:pPr>
      <w:r w:rsidRPr="008E0DCD">
        <w:rPr>
          <w:rFonts w:ascii="Georgia" w:hAnsi="Georgia"/>
        </w:rPr>
        <w:t>April 2</w:t>
      </w:r>
      <w:r>
        <w:rPr>
          <w:rFonts w:ascii="Georgia" w:hAnsi="Georgia"/>
        </w:rPr>
        <w:t>4</w:t>
      </w:r>
      <w:r w:rsidRPr="008E0DCD">
        <w:rPr>
          <w:rFonts w:ascii="Georgia" w:hAnsi="Georgia"/>
        </w:rPr>
        <w:t>, 2018</w:t>
      </w:r>
    </w:p>
    <w:p w:rsidR="00E33B5C" w:rsidRPr="004051B0" w:rsidRDefault="00E33B5C" w:rsidP="00E33B5C">
      <w:pPr>
        <w:suppressLineNumbers/>
        <w:jc w:val="center"/>
        <w:rPr>
          <w:rFonts w:ascii="Georgia" w:hAnsi="Georgia"/>
        </w:rPr>
      </w:pPr>
    </w:p>
    <w:p w:rsidR="00E33B5C" w:rsidRPr="00CC2416" w:rsidRDefault="00E33B5C" w:rsidP="00E33B5C">
      <w:r w:rsidRPr="00CC2416">
        <w:rPr>
          <w:b/>
          <w:u w:val="single"/>
        </w:rPr>
        <w:t>Sponsored by</w:t>
      </w:r>
      <w:r w:rsidRPr="00CC2416">
        <w:rPr>
          <w:b/>
        </w:rPr>
        <w:t xml:space="preserve">: </w:t>
      </w:r>
      <w:r w:rsidRPr="005238DF">
        <w:rPr>
          <w:b/>
        </w:rPr>
        <w:t>Martin Hatch, Faculty</w:t>
      </w:r>
      <w:r>
        <w:rPr>
          <w:b/>
        </w:rPr>
        <w:t>; Member, Campus Infrastructure Committee</w:t>
      </w:r>
    </w:p>
    <w:p w:rsidR="00E33B5C" w:rsidRPr="008E0DCD" w:rsidRDefault="00E33B5C" w:rsidP="00E33B5C">
      <w:pPr>
        <w:rPr>
          <w:b/>
        </w:rPr>
      </w:pPr>
    </w:p>
    <w:p w:rsidR="00E33B5C" w:rsidRPr="00CC5E6D" w:rsidRDefault="00E33B5C" w:rsidP="00E33B5C">
      <w:pPr>
        <w:widowControl w:val="0"/>
        <w:autoSpaceDE w:val="0"/>
        <w:autoSpaceDN w:val="0"/>
        <w:adjustRightInd w:val="0"/>
        <w:ind w:left="720" w:hanging="630"/>
        <w:rPr>
          <w:rFonts w:eastAsia="Calibri"/>
          <w:bCs/>
        </w:rPr>
      </w:pPr>
      <w:r w:rsidRPr="00CC5E6D">
        <w:rPr>
          <w:rFonts w:eastAsia="Calibri"/>
          <w:b/>
          <w:bCs/>
        </w:rPr>
        <w:t>Whereas,</w:t>
      </w:r>
      <w:r w:rsidRPr="00CC5E6D">
        <w:rPr>
          <w:rFonts w:eastAsia="Calibri"/>
          <w:bCs/>
        </w:rPr>
        <w:t xml:space="preserve"> the University Assembly (the “Assembly”) has the authority to examine matters which concern the welfare of a substantial segment of the campus community and may make recommendations thereon to the President or other appropriate officers of the university; and </w:t>
      </w:r>
    </w:p>
    <w:p w:rsidR="00E33B5C" w:rsidRPr="00CC5E6D" w:rsidRDefault="00E33B5C" w:rsidP="00E33B5C">
      <w:pPr>
        <w:widowControl w:val="0"/>
        <w:autoSpaceDE w:val="0"/>
        <w:autoSpaceDN w:val="0"/>
        <w:adjustRightInd w:val="0"/>
        <w:ind w:left="720" w:hanging="630"/>
        <w:rPr>
          <w:rFonts w:eastAsia="Calibri"/>
          <w:bCs/>
        </w:rPr>
      </w:pPr>
    </w:p>
    <w:p w:rsidR="00E33B5C" w:rsidRPr="00CC5E6D" w:rsidRDefault="00E33B5C" w:rsidP="00E33B5C">
      <w:pPr>
        <w:ind w:left="720" w:hanging="630"/>
      </w:pPr>
      <w:r w:rsidRPr="00D478F0">
        <w:rPr>
          <w:b/>
        </w:rPr>
        <w:t>Whereas</w:t>
      </w:r>
      <w:r w:rsidRPr="00D478F0">
        <w:rPr>
          <w:bCs/>
        </w:rPr>
        <w:t>,</w:t>
      </w:r>
      <w:r>
        <w:rPr>
          <w:bCs/>
        </w:rPr>
        <w:t xml:space="preserve"> </w:t>
      </w:r>
      <w:r>
        <w:t>areas concerning transportation policy have historically been a focus for the Assembly and are explicitly listed in the Assembly’s Charter as areas the Assembly shall have authority over in policy development in;</w:t>
      </w:r>
      <w:r w:rsidRPr="004F00D3">
        <w:rPr>
          <w:rStyle w:val="FootnoteReference"/>
        </w:rPr>
        <w:t xml:space="preserve"> </w:t>
      </w:r>
      <w:r>
        <w:rPr>
          <w:rStyle w:val="FootnoteReference"/>
        </w:rPr>
        <w:footnoteReference w:id="1"/>
      </w:r>
      <w:r>
        <w:t xml:space="preserve"> and</w:t>
      </w:r>
    </w:p>
    <w:p w:rsidR="00E33B5C" w:rsidRDefault="00E33B5C" w:rsidP="00E33B5C">
      <w:pPr>
        <w:ind w:left="720" w:hanging="630"/>
        <w:rPr>
          <w:rFonts w:eastAsia="Times Roman"/>
          <w:b/>
        </w:rPr>
      </w:pPr>
    </w:p>
    <w:p w:rsidR="00E33B5C" w:rsidRDefault="00E33B5C" w:rsidP="00E33B5C">
      <w:pPr>
        <w:ind w:left="720" w:hanging="630"/>
        <w:rPr>
          <w:rFonts w:eastAsia="Times Roman"/>
        </w:rPr>
      </w:pPr>
      <w:r w:rsidRPr="008E0DCD">
        <w:rPr>
          <w:rFonts w:eastAsia="Times Roman"/>
          <w:b/>
        </w:rPr>
        <w:t xml:space="preserve">Whereas </w:t>
      </w:r>
      <w:r w:rsidRPr="008E0DCD">
        <w:rPr>
          <w:rFonts w:eastAsia="Times Roman"/>
        </w:rPr>
        <w:t xml:space="preserve">the Assembly recognizes that the Cornell Employee Assembly’s Resolution </w:t>
      </w:r>
      <w:r>
        <w:rPr>
          <w:rFonts w:eastAsia="Times Roman"/>
        </w:rPr>
        <w:t>#</w:t>
      </w:r>
      <w:r w:rsidRPr="008E0DCD">
        <w:rPr>
          <w:rFonts w:eastAsia="Times Roman"/>
        </w:rPr>
        <w:t>7: Advancing a Comprehensive Transportation Plan for the Ithaca Campus</w:t>
      </w:r>
      <w:r>
        <w:rPr>
          <w:rFonts w:eastAsia="Times Roman"/>
        </w:rPr>
        <w:t xml:space="preserve"> (“EA R7) was </w:t>
      </w:r>
      <w:r w:rsidRPr="008E0DCD">
        <w:rPr>
          <w:rFonts w:eastAsia="Times Roman"/>
        </w:rPr>
        <w:t>passed unanimously by the EA on</w:t>
      </w:r>
      <w:r>
        <w:rPr>
          <w:rFonts w:eastAsia="Times Roman"/>
        </w:rPr>
        <w:t xml:space="preserve"> </w:t>
      </w:r>
      <w:r w:rsidRPr="008E0DCD">
        <w:rPr>
          <w:rFonts w:eastAsia="Times Roman"/>
        </w:rPr>
        <w:t xml:space="preserve">November </w:t>
      </w:r>
      <w:r>
        <w:rPr>
          <w:rFonts w:eastAsia="Times Roman"/>
        </w:rPr>
        <w:t xml:space="preserve">28, </w:t>
      </w:r>
      <w:r w:rsidRPr="008E0DCD">
        <w:rPr>
          <w:rFonts w:eastAsia="Times Roman"/>
        </w:rPr>
        <w:t xml:space="preserve">2017 </w:t>
      </w:r>
      <w:r>
        <w:rPr>
          <w:rFonts w:eastAsia="Times Roman"/>
        </w:rPr>
        <w:t xml:space="preserve">and </w:t>
      </w:r>
      <w:r w:rsidRPr="008E0DCD">
        <w:rPr>
          <w:rFonts w:eastAsia="Times Roman"/>
        </w:rPr>
        <w:t>requests action in an area that is of concern to the entire university community; and</w:t>
      </w:r>
    </w:p>
    <w:p w:rsidR="00E33B5C" w:rsidRDefault="00E33B5C" w:rsidP="00E33B5C">
      <w:pPr>
        <w:ind w:left="720" w:hanging="630"/>
        <w:rPr>
          <w:rFonts w:eastAsia="Times Roman"/>
        </w:rPr>
      </w:pPr>
    </w:p>
    <w:p w:rsidR="00E33B5C" w:rsidRDefault="00E33B5C" w:rsidP="00E33B5C">
      <w:pPr>
        <w:ind w:left="720" w:hanging="630"/>
        <w:rPr>
          <w:rFonts w:eastAsia="Times Roman"/>
        </w:rPr>
      </w:pPr>
      <w:r w:rsidRPr="008E0DCD">
        <w:rPr>
          <w:rFonts w:eastAsia="Times Roman"/>
          <w:b/>
        </w:rPr>
        <w:t xml:space="preserve">Whereas </w:t>
      </w:r>
      <w:r>
        <w:rPr>
          <w:rFonts w:eastAsia="Times Roman"/>
        </w:rPr>
        <w:t>EA R7 was conveyed to President Martha Pollack on November 29, 2017 and acknowledged on January 2, 2018</w:t>
      </w:r>
      <w:r w:rsidRPr="008E0DCD">
        <w:rPr>
          <w:rFonts w:eastAsia="Times Roman"/>
        </w:rPr>
        <w:t>; and</w:t>
      </w:r>
    </w:p>
    <w:p w:rsidR="00E33B5C" w:rsidRDefault="00E33B5C" w:rsidP="00E33B5C">
      <w:pPr>
        <w:ind w:left="720" w:hanging="630"/>
        <w:rPr>
          <w:rFonts w:eastAsia="Times Roman"/>
        </w:rPr>
      </w:pPr>
    </w:p>
    <w:p w:rsidR="00E33B5C" w:rsidRDefault="00E33B5C" w:rsidP="00E33B5C">
      <w:pPr>
        <w:ind w:left="720" w:hanging="630"/>
      </w:pPr>
      <w:r w:rsidRPr="008E0DCD">
        <w:rPr>
          <w:rFonts w:eastAsia="Times Roman"/>
          <w:b/>
        </w:rPr>
        <w:t>Whereas</w:t>
      </w:r>
      <w:r>
        <w:rPr>
          <w:rFonts w:eastAsia="Times Roman"/>
          <w:b/>
        </w:rPr>
        <w:t xml:space="preserve"> </w:t>
      </w:r>
      <w:r>
        <w:rPr>
          <w:rFonts w:eastAsia="Times Roman"/>
        </w:rPr>
        <w:t>in her acknowledgment, President Pollack noted that “</w:t>
      </w:r>
      <w:r>
        <w:t xml:space="preserve">Given the many competing priorities for Cornell’s resources, we intend to pursue a focused transportation assessment that will support the work on North </w:t>
      </w:r>
      <w:proofErr w:type="gramStart"/>
      <w:r>
        <w:t>Campus[</w:t>
      </w:r>
      <w:proofErr w:type="gramEnd"/>
      <w:r>
        <w:rPr>
          <w:rStyle w:val="FootnoteReference"/>
        </w:rPr>
        <w:footnoteReference w:id="2"/>
      </w:r>
      <w:r>
        <w:t>], inform our capital planning process, and optimize use of regional mass transit.”; and</w:t>
      </w:r>
    </w:p>
    <w:p w:rsidR="00E33B5C" w:rsidRDefault="00E33B5C" w:rsidP="00E33B5C">
      <w:pPr>
        <w:ind w:left="720" w:hanging="630"/>
      </w:pPr>
    </w:p>
    <w:p w:rsidR="00E33B5C" w:rsidRPr="00A10219" w:rsidRDefault="00E33B5C" w:rsidP="00E33B5C">
      <w:pPr>
        <w:widowControl w:val="0"/>
        <w:autoSpaceDE w:val="0"/>
        <w:autoSpaceDN w:val="0"/>
        <w:adjustRightInd w:val="0"/>
        <w:ind w:left="720" w:hanging="630"/>
        <w:rPr>
          <w:rFonts w:eastAsia="Calibri"/>
          <w:bCs/>
        </w:rPr>
      </w:pPr>
      <w:r w:rsidRPr="00A10219">
        <w:rPr>
          <w:rFonts w:eastAsia="Calibri"/>
          <w:b/>
          <w:bCs/>
        </w:rPr>
        <w:t>Whereas,</w:t>
      </w:r>
      <w:r w:rsidRPr="00A10219">
        <w:rPr>
          <w:rFonts w:eastAsia="Calibri"/>
          <w:bCs/>
        </w:rPr>
        <w:t xml:space="preserve"> the Assembly hosted Bridgette Brady; Director of Transportation Services, Helen </w:t>
      </w:r>
      <w:proofErr w:type="spellStart"/>
      <w:r w:rsidRPr="00A10219">
        <w:rPr>
          <w:rFonts w:eastAsia="Calibri"/>
          <w:bCs/>
        </w:rPr>
        <w:t>Steh</w:t>
      </w:r>
      <w:proofErr w:type="spellEnd"/>
      <w:r w:rsidRPr="00A10219">
        <w:rPr>
          <w:rFonts w:eastAsia="Calibri"/>
          <w:bCs/>
        </w:rPr>
        <w:t xml:space="preserve">; Customer Service Manager; and Reed </w:t>
      </w:r>
      <w:proofErr w:type="spellStart"/>
      <w:r w:rsidRPr="00A10219">
        <w:rPr>
          <w:rFonts w:eastAsia="Calibri"/>
          <w:bCs/>
        </w:rPr>
        <w:t>Huegerich</w:t>
      </w:r>
      <w:proofErr w:type="spellEnd"/>
      <w:r w:rsidRPr="00A10219">
        <w:rPr>
          <w:rFonts w:eastAsia="Calibri"/>
          <w:bCs/>
        </w:rPr>
        <w:t>; Senior Planner at its meeting of April 10, 2018; and</w:t>
      </w:r>
    </w:p>
    <w:p w:rsidR="00E33B5C" w:rsidRPr="00A10219" w:rsidRDefault="00E33B5C" w:rsidP="00E33B5C">
      <w:pPr>
        <w:ind w:left="720" w:hanging="630"/>
      </w:pPr>
    </w:p>
    <w:p w:rsidR="00E33B5C" w:rsidRPr="00A10219" w:rsidRDefault="00E33B5C" w:rsidP="00E33B5C">
      <w:pPr>
        <w:widowControl w:val="0"/>
        <w:autoSpaceDE w:val="0"/>
        <w:autoSpaceDN w:val="0"/>
        <w:adjustRightInd w:val="0"/>
        <w:ind w:left="720" w:hanging="630"/>
        <w:rPr>
          <w:rFonts w:eastAsia="Calibri"/>
          <w:bCs/>
        </w:rPr>
      </w:pPr>
      <w:r w:rsidRPr="00A10219">
        <w:rPr>
          <w:rFonts w:eastAsia="Calibri"/>
          <w:b/>
          <w:bCs/>
        </w:rPr>
        <w:t>Whereas,</w:t>
      </w:r>
      <w:r w:rsidRPr="00A10219">
        <w:rPr>
          <w:rFonts w:eastAsia="Calibri"/>
          <w:bCs/>
        </w:rPr>
        <w:t xml:space="preserve"> </w:t>
      </w:r>
      <w:r>
        <w:rPr>
          <w:rFonts w:eastAsia="Calibri"/>
          <w:bCs/>
        </w:rPr>
        <w:t>at that meeting the Assembly was informed of the value a comprehensive transportation plan could provide to the University</w:t>
      </w:r>
      <w:r w:rsidRPr="00A10219">
        <w:rPr>
          <w:rFonts w:eastAsia="Calibri"/>
          <w:bCs/>
        </w:rPr>
        <w:t>; and</w:t>
      </w:r>
    </w:p>
    <w:p w:rsidR="00E33B5C" w:rsidRPr="008E0DCD" w:rsidRDefault="00E33B5C" w:rsidP="00E33B5C">
      <w:pPr>
        <w:rPr>
          <w:rFonts w:eastAsia="Times Roman"/>
        </w:rPr>
      </w:pPr>
    </w:p>
    <w:p w:rsidR="00E33B5C" w:rsidRDefault="00E33B5C" w:rsidP="00E33B5C">
      <w:pPr>
        <w:ind w:left="720" w:hanging="630"/>
      </w:pPr>
      <w:r w:rsidRPr="008E0DCD">
        <w:rPr>
          <w:rFonts w:eastAsia="Times Roman"/>
          <w:b/>
        </w:rPr>
        <w:lastRenderedPageBreak/>
        <w:t>Whereas</w:t>
      </w:r>
      <w:r w:rsidRPr="008E0DCD">
        <w:rPr>
          <w:rFonts w:eastAsia="Times Roman"/>
        </w:rPr>
        <w:t xml:space="preserve"> transport (by automobile, bus, walking and bicycling) of members of the university community (defined as undergraduate students, graduate and professional students, employees, and faculty) to, from, and within the various components of the Ithaca/Tompkins County campus of Cornell University is essential to the fulfillment of the mission of the university</w:t>
      </w:r>
      <w:r w:rsidRPr="008E0DCD">
        <w:t>; and</w:t>
      </w:r>
    </w:p>
    <w:p w:rsidR="00E33B5C" w:rsidRPr="008E0DCD" w:rsidRDefault="00E33B5C" w:rsidP="00E33B5C">
      <w:pPr>
        <w:ind w:left="720" w:hanging="630"/>
      </w:pPr>
    </w:p>
    <w:p w:rsidR="00E33B5C" w:rsidRDefault="00E33B5C" w:rsidP="00E33B5C">
      <w:pPr>
        <w:pStyle w:val="Body"/>
        <w:ind w:left="720" w:hanging="720"/>
        <w:rPr>
          <w:rFonts w:eastAsia="Times Roman"/>
          <w:color w:val="auto"/>
        </w:rPr>
      </w:pPr>
      <w:r w:rsidRPr="008E0DCD">
        <w:rPr>
          <w:rFonts w:eastAsia="Times Roman"/>
          <w:b/>
          <w:color w:val="auto"/>
        </w:rPr>
        <w:t xml:space="preserve">Whereas </w:t>
      </w:r>
      <w:r w:rsidRPr="008E0DCD">
        <w:rPr>
          <w:rFonts w:eastAsia="Times Roman"/>
          <w:color w:val="auto"/>
        </w:rPr>
        <w:t xml:space="preserve">the numbers of persons, numbers and sizes of buildings, and geographic extent of the university has increased considerably over the past fifty years -- particularly in the last </w:t>
      </w:r>
      <w:r>
        <w:rPr>
          <w:rFonts w:eastAsia="Times Roman"/>
          <w:color w:val="auto"/>
        </w:rPr>
        <w:t>15</w:t>
      </w:r>
      <w:r w:rsidRPr="008E0DCD">
        <w:rPr>
          <w:rFonts w:eastAsia="Times Roman"/>
          <w:color w:val="auto"/>
        </w:rPr>
        <w:t xml:space="preserve"> years; and</w:t>
      </w:r>
    </w:p>
    <w:p w:rsidR="00E33B5C" w:rsidRPr="008E0DCD" w:rsidRDefault="00E33B5C" w:rsidP="00E33B5C">
      <w:pPr>
        <w:pStyle w:val="Body"/>
        <w:ind w:left="720" w:hanging="720"/>
        <w:rPr>
          <w:rFonts w:eastAsia="Times Roman"/>
          <w:color w:val="auto"/>
        </w:rPr>
      </w:pPr>
    </w:p>
    <w:p w:rsidR="00E33B5C" w:rsidRDefault="00E33B5C" w:rsidP="00E33B5C">
      <w:pPr>
        <w:pStyle w:val="Body"/>
        <w:ind w:left="720" w:hanging="720"/>
        <w:rPr>
          <w:rFonts w:eastAsia="Times Roman"/>
          <w:color w:val="auto"/>
        </w:rPr>
      </w:pPr>
      <w:r w:rsidRPr="008E0DCD">
        <w:rPr>
          <w:rFonts w:eastAsia="Times Roman"/>
          <w:b/>
          <w:color w:val="auto"/>
        </w:rPr>
        <w:t xml:space="preserve">Whereas </w:t>
      </w:r>
      <w:r w:rsidRPr="008E0DCD">
        <w:rPr>
          <w:rFonts w:eastAsia="Times Roman"/>
          <w:color w:val="auto"/>
        </w:rPr>
        <w:t xml:space="preserve">the points of origin and destination for persons in the university community have increased concomitantly both in numbers and distances from the university, while the various options for and regulation of transport to, from, and on campus during that period have remained virtually the same or have decreased; and </w:t>
      </w:r>
    </w:p>
    <w:p w:rsidR="00E33B5C" w:rsidRPr="008E0DCD" w:rsidRDefault="00E33B5C" w:rsidP="00E33B5C">
      <w:pPr>
        <w:pStyle w:val="Body"/>
        <w:ind w:left="720" w:hanging="720"/>
        <w:rPr>
          <w:rFonts w:eastAsia="Times Roman"/>
          <w:color w:val="auto"/>
        </w:rPr>
      </w:pPr>
    </w:p>
    <w:p w:rsidR="00E33B5C" w:rsidRDefault="00E33B5C" w:rsidP="00E33B5C">
      <w:pPr>
        <w:pStyle w:val="Body"/>
        <w:ind w:left="720" w:hanging="720"/>
        <w:rPr>
          <w:rFonts w:eastAsia="Times Roman"/>
          <w:color w:val="auto"/>
        </w:rPr>
      </w:pPr>
      <w:r w:rsidRPr="008E0DCD">
        <w:rPr>
          <w:rFonts w:eastAsia="Times Roman"/>
          <w:b/>
          <w:color w:val="auto"/>
        </w:rPr>
        <w:t xml:space="preserve">Whereas </w:t>
      </w:r>
      <w:r w:rsidRPr="008E0DCD">
        <w:rPr>
          <w:rFonts w:eastAsia="Times Roman"/>
          <w:color w:val="auto"/>
        </w:rPr>
        <w:t>studies, plans, and projects addressing the consequences of the above developments have been limited, relatively silo-</w:t>
      </w:r>
      <w:proofErr w:type="spellStart"/>
      <w:r w:rsidRPr="008E0DCD">
        <w:rPr>
          <w:rFonts w:eastAsia="Times Roman"/>
          <w:color w:val="auto"/>
        </w:rPr>
        <w:t>ized</w:t>
      </w:r>
      <w:proofErr w:type="spellEnd"/>
      <w:r w:rsidRPr="008E0DCD">
        <w:rPr>
          <w:rFonts w:eastAsia="Times Roman"/>
          <w:color w:val="auto"/>
        </w:rPr>
        <w:t xml:space="preserve"> and circumscribed (for example, bicycle availability, bike-ways, counts of parking spaces and use thereof, or transport assessments connected with limited areas of campus development, such as the NCRE and TWC studies); and</w:t>
      </w:r>
    </w:p>
    <w:p w:rsidR="00E33B5C" w:rsidRDefault="00E33B5C" w:rsidP="00E33B5C">
      <w:pPr>
        <w:pStyle w:val="Body"/>
        <w:ind w:left="720" w:hanging="720"/>
        <w:rPr>
          <w:rFonts w:eastAsia="Times Roman"/>
          <w:color w:val="auto"/>
        </w:rPr>
      </w:pPr>
    </w:p>
    <w:p w:rsidR="00E33B5C" w:rsidRDefault="00E33B5C" w:rsidP="00E33B5C">
      <w:pPr>
        <w:pStyle w:val="Body"/>
        <w:ind w:left="720" w:hanging="720"/>
        <w:rPr>
          <w:rFonts w:eastAsia="Times Roman"/>
          <w:color w:val="auto"/>
        </w:rPr>
      </w:pPr>
      <w:r w:rsidRPr="008E0DCD">
        <w:rPr>
          <w:rFonts w:eastAsia="Times Roman"/>
          <w:b/>
          <w:color w:val="auto"/>
        </w:rPr>
        <w:t xml:space="preserve">Whereas </w:t>
      </w:r>
      <w:r>
        <w:rPr>
          <w:rFonts w:eastAsia="Times Roman"/>
          <w:color w:val="auto"/>
        </w:rPr>
        <w:t>the Assembly recognizes the financial and logistical constraints faced by the University but believes that continuing a piecemeal analysis results in long-term inefficiency and leaves larger scale issues only partly addressed;</w:t>
      </w:r>
      <w:r w:rsidRPr="008E0DCD">
        <w:rPr>
          <w:rFonts w:eastAsia="Times Roman"/>
          <w:color w:val="auto"/>
        </w:rPr>
        <w:t xml:space="preserve"> and</w:t>
      </w:r>
    </w:p>
    <w:p w:rsidR="00E33B5C" w:rsidRDefault="00E33B5C" w:rsidP="00E33B5C">
      <w:pPr>
        <w:pStyle w:val="Body"/>
        <w:ind w:left="720" w:hanging="720"/>
        <w:rPr>
          <w:rFonts w:eastAsia="Times Roman"/>
          <w:color w:val="auto"/>
        </w:rPr>
      </w:pPr>
    </w:p>
    <w:p w:rsidR="00E33B5C" w:rsidRDefault="00E33B5C" w:rsidP="00E33B5C">
      <w:pPr>
        <w:pStyle w:val="Body"/>
        <w:ind w:left="720" w:hanging="720"/>
        <w:rPr>
          <w:rFonts w:eastAsia="Times Roman"/>
          <w:color w:val="auto"/>
        </w:rPr>
      </w:pPr>
      <w:r w:rsidRPr="008E0DCD">
        <w:rPr>
          <w:rFonts w:eastAsia="Times Roman"/>
          <w:b/>
          <w:color w:val="auto"/>
        </w:rPr>
        <w:t xml:space="preserve">Whereas </w:t>
      </w:r>
      <w:r>
        <w:rPr>
          <w:rFonts w:eastAsia="Times Roman"/>
          <w:color w:val="auto"/>
        </w:rPr>
        <w:t>to create a unified, comprehensive solution for student housing, in 2016, the University undertook a process to create a Student Housing Master Plan to “</w:t>
      </w:r>
      <w:r w:rsidRPr="00F36118">
        <w:rPr>
          <w:rFonts w:eastAsia="Times Roman"/>
          <w:color w:val="auto"/>
        </w:rPr>
        <w:t>provide a near- and long-term strategy for student housing</w:t>
      </w:r>
      <w:r>
        <w:rPr>
          <w:rFonts w:eastAsia="Times Roman"/>
          <w:color w:val="auto"/>
        </w:rPr>
        <w:t>”;</w:t>
      </w:r>
      <w:r>
        <w:rPr>
          <w:rStyle w:val="FootnoteReference"/>
          <w:rFonts w:eastAsia="Times Roman"/>
          <w:color w:val="auto"/>
        </w:rPr>
        <w:footnoteReference w:id="3"/>
      </w:r>
      <w:r w:rsidRPr="008E0DCD">
        <w:rPr>
          <w:rFonts w:eastAsia="Times Roman"/>
          <w:color w:val="auto"/>
        </w:rPr>
        <w:t xml:space="preserve"> and</w:t>
      </w:r>
    </w:p>
    <w:p w:rsidR="00E33B5C" w:rsidRDefault="00E33B5C" w:rsidP="00E33B5C">
      <w:pPr>
        <w:pStyle w:val="Body"/>
        <w:ind w:left="720" w:hanging="720"/>
        <w:rPr>
          <w:rFonts w:eastAsia="Times Roman"/>
          <w:color w:val="auto"/>
        </w:rPr>
      </w:pPr>
    </w:p>
    <w:p w:rsidR="00E33B5C" w:rsidRDefault="00E33B5C" w:rsidP="00E33B5C">
      <w:pPr>
        <w:pStyle w:val="Body"/>
        <w:ind w:left="720" w:hanging="720"/>
        <w:rPr>
          <w:rFonts w:eastAsia="Times Roman"/>
          <w:color w:val="auto"/>
        </w:rPr>
      </w:pPr>
      <w:r w:rsidRPr="008E0DCD">
        <w:rPr>
          <w:rFonts w:eastAsia="Times Roman"/>
          <w:b/>
          <w:color w:val="auto"/>
        </w:rPr>
        <w:t xml:space="preserve">Whereas </w:t>
      </w:r>
      <w:r>
        <w:rPr>
          <w:rFonts w:eastAsia="Times Roman"/>
          <w:color w:val="auto"/>
        </w:rPr>
        <w:t>this plan enables Cornell to strategically address large scale issues and the Assembly believes a similar approach would be beneficial to address Cornell’s transportation needs, infrastructure, and strategy;</w:t>
      </w:r>
      <w:r w:rsidRPr="008E0DCD">
        <w:rPr>
          <w:rFonts w:eastAsia="Times Roman"/>
          <w:color w:val="auto"/>
        </w:rPr>
        <w:t xml:space="preserve"> and</w:t>
      </w:r>
    </w:p>
    <w:p w:rsidR="00E33B5C" w:rsidRPr="008E0DCD" w:rsidRDefault="00E33B5C" w:rsidP="00E33B5C">
      <w:pPr>
        <w:pStyle w:val="Body"/>
        <w:rPr>
          <w:rFonts w:eastAsia="Times Roman"/>
          <w:color w:val="auto"/>
        </w:rPr>
      </w:pPr>
    </w:p>
    <w:p w:rsidR="00E33B5C" w:rsidRDefault="00E33B5C" w:rsidP="00E33B5C">
      <w:pPr>
        <w:pStyle w:val="Body"/>
        <w:ind w:left="720" w:hanging="720"/>
        <w:rPr>
          <w:rFonts w:eastAsia="Times Roman"/>
          <w:color w:val="auto"/>
        </w:rPr>
      </w:pPr>
      <w:r w:rsidRPr="008E0DCD">
        <w:rPr>
          <w:rFonts w:eastAsia="Times Roman"/>
          <w:b/>
          <w:color w:val="auto"/>
        </w:rPr>
        <w:t xml:space="preserve">Whereas, </w:t>
      </w:r>
      <w:r w:rsidRPr="008E0DCD">
        <w:rPr>
          <w:rFonts w:eastAsia="Times Roman"/>
          <w:color w:val="auto"/>
        </w:rPr>
        <w:t xml:space="preserve">clear areas of concern have developed regarding the effects of lack of comprehensive transportation planning: increases in carbon emissions; increases in congestion; increases in threats to public safety; decreases in efficient modes of connection from point of origin to destination; </w:t>
      </w:r>
      <w:r>
        <w:rPr>
          <w:rFonts w:eastAsia="Times Roman"/>
          <w:color w:val="auto"/>
        </w:rPr>
        <w:t xml:space="preserve">inefficient use of parking infrastructure; </w:t>
      </w:r>
      <w:r w:rsidRPr="008E0DCD">
        <w:rPr>
          <w:rFonts w:eastAsia="Times Roman"/>
          <w:color w:val="auto"/>
        </w:rPr>
        <w:t xml:space="preserve">all resulting increases in costs born by Cornell’s facilities, its environment, and its community members; </w:t>
      </w:r>
      <w:r>
        <w:rPr>
          <w:rFonts w:eastAsia="Times Roman"/>
          <w:color w:val="auto"/>
        </w:rPr>
        <w:t>and</w:t>
      </w:r>
    </w:p>
    <w:p w:rsidR="00E33B5C" w:rsidRPr="008E0DCD" w:rsidRDefault="00E33B5C" w:rsidP="00E33B5C">
      <w:pPr>
        <w:pStyle w:val="Body"/>
        <w:ind w:left="720" w:hanging="720"/>
        <w:rPr>
          <w:rFonts w:eastAsia="Times Roman"/>
          <w:color w:val="auto"/>
        </w:rPr>
      </w:pPr>
    </w:p>
    <w:p w:rsidR="00E33B5C" w:rsidRDefault="00E33B5C" w:rsidP="00E33B5C">
      <w:pPr>
        <w:pStyle w:val="Body"/>
        <w:ind w:left="720" w:hanging="720"/>
        <w:rPr>
          <w:rFonts w:eastAsia="Times Roman"/>
          <w:color w:val="auto"/>
        </w:rPr>
      </w:pPr>
      <w:r w:rsidRPr="008E0DCD">
        <w:rPr>
          <w:rFonts w:eastAsia="Times Roman"/>
          <w:b/>
          <w:color w:val="auto"/>
        </w:rPr>
        <w:lastRenderedPageBreak/>
        <w:t xml:space="preserve">Whereas, </w:t>
      </w:r>
      <w:r w:rsidRPr="008E0DCD">
        <w:rPr>
          <w:rFonts w:eastAsia="Times Roman"/>
          <w:color w:val="auto"/>
        </w:rPr>
        <w:t>cognizant of these problems connected with transportation in the region, local</w:t>
      </w:r>
      <w:r w:rsidRPr="008E0DCD">
        <w:rPr>
          <w:rFonts w:eastAsia="Times Roman"/>
          <w:b/>
          <w:color w:val="auto"/>
        </w:rPr>
        <w:t xml:space="preserve"> </w:t>
      </w:r>
      <w:r w:rsidRPr="008E0DCD">
        <w:rPr>
          <w:rFonts w:eastAsia="Times Roman"/>
          <w:color w:val="auto"/>
        </w:rPr>
        <w:t>governments, not-for-profit organizations, and ad-hoc citizen groups in the Ithaca/Tompkins County region have, over the course of the past 15 years, organized working groups charged with proposing solutions to portions of the transportation challenges in the region, yet there has been to date little participation by Cornell in the comprehensive planning and coordination of the various modes of transport, or collaboration with these groups in addressing these issues; and</w:t>
      </w:r>
    </w:p>
    <w:p w:rsidR="00E33B5C" w:rsidRPr="008E0DCD" w:rsidRDefault="00E33B5C" w:rsidP="00E33B5C">
      <w:pPr>
        <w:pStyle w:val="Body"/>
        <w:ind w:left="720" w:hanging="720"/>
        <w:rPr>
          <w:rFonts w:eastAsia="Times Roman"/>
          <w:color w:val="auto"/>
        </w:rPr>
      </w:pPr>
    </w:p>
    <w:p w:rsidR="00E33B5C" w:rsidRDefault="00E33B5C" w:rsidP="00E33B5C">
      <w:pPr>
        <w:ind w:left="720" w:hanging="720"/>
        <w:rPr>
          <w:rFonts w:eastAsia="Times Roman"/>
        </w:rPr>
      </w:pPr>
      <w:r w:rsidRPr="008E0DCD">
        <w:rPr>
          <w:rFonts w:eastAsia="Times Roman"/>
          <w:b/>
        </w:rPr>
        <w:t xml:space="preserve">Whereas, </w:t>
      </w:r>
      <w:r w:rsidRPr="008E0DCD">
        <w:rPr>
          <w:rFonts w:eastAsia="Times Roman"/>
        </w:rPr>
        <w:t>the costs of transportation born now by members of the Cornell community and the cost</w:t>
      </w:r>
      <w:r>
        <w:rPr>
          <w:rFonts w:eastAsia="Times Roman"/>
        </w:rPr>
        <w:t xml:space="preserve">s to Cornell in work-time lost and </w:t>
      </w:r>
      <w:r w:rsidRPr="008E0DCD">
        <w:rPr>
          <w:rFonts w:eastAsia="Times Roman"/>
        </w:rPr>
        <w:t>environmental degradation, can be considerably ameliorated in a well-planned transportation system for the region; and</w:t>
      </w:r>
    </w:p>
    <w:p w:rsidR="00E33B5C" w:rsidRPr="008E0DCD" w:rsidRDefault="00E33B5C" w:rsidP="00E33B5C">
      <w:pPr>
        <w:ind w:left="720" w:hanging="720"/>
        <w:rPr>
          <w:rFonts w:eastAsia="Times Roman"/>
        </w:rPr>
      </w:pPr>
    </w:p>
    <w:p w:rsidR="00E33B5C" w:rsidRPr="008E0DCD" w:rsidRDefault="00E33B5C" w:rsidP="00E33B5C">
      <w:pPr>
        <w:ind w:left="720" w:hanging="720"/>
        <w:rPr>
          <w:rFonts w:eastAsia="Times Roman"/>
        </w:rPr>
      </w:pPr>
      <w:r w:rsidRPr="008E0DCD">
        <w:rPr>
          <w:rFonts w:eastAsia="Times Roman"/>
          <w:b/>
        </w:rPr>
        <w:t>Whereas,</w:t>
      </w:r>
      <w:r w:rsidRPr="008E0DCD">
        <w:rPr>
          <w:rFonts w:eastAsia="Times Roman"/>
        </w:rPr>
        <w:t xml:space="preserve"> a well-planned transportation system for the region will result in cost-savings to Cornell and members of the Cornell community in these and other areas, that far out-weigh the costs of the study itself; </w:t>
      </w:r>
      <w:r>
        <w:rPr>
          <w:rFonts w:eastAsia="Times Roman"/>
        </w:rPr>
        <w:t>therefore</w:t>
      </w:r>
    </w:p>
    <w:p w:rsidR="00E33B5C" w:rsidRPr="008E0DCD" w:rsidRDefault="00E33B5C" w:rsidP="00E33B5C">
      <w:pPr>
        <w:ind w:left="720" w:hanging="720"/>
        <w:rPr>
          <w:rFonts w:eastAsia="Times Roman"/>
          <w:b/>
        </w:rPr>
      </w:pPr>
    </w:p>
    <w:p w:rsidR="00E33B5C" w:rsidRDefault="00E33B5C" w:rsidP="00E33B5C">
      <w:pPr>
        <w:ind w:left="720" w:hanging="720"/>
        <w:rPr>
          <w:rFonts w:eastAsia="Times Roman"/>
        </w:rPr>
      </w:pPr>
      <w:r w:rsidRPr="008E0DCD">
        <w:rPr>
          <w:rFonts w:eastAsia="Times Roman"/>
          <w:b/>
        </w:rPr>
        <w:t xml:space="preserve">Be it </w:t>
      </w:r>
      <w:r>
        <w:rPr>
          <w:rFonts w:eastAsia="Times Roman"/>
          <w:b/>
        </w:rPr>
        <w:t>R</w:t>
      </w:r>
      <w:r w:rsidRPr="008E0DCD">
        <w:rPr>
          <w:rFonts w:eastAsia="Times Roman"/>
          <w:b/>
        </w:rPr>
        <w:t>esolved,</w:t>
      </w:r>
      <w:r w:rsidRPr="008E0DCD">
        <w:rPr>
          <w:rFonts w:eastAsia="Times Roman"/>
        </w:rPr>
        <w:t xml:space="preserve"> that President Martha Pollack direct the appropriate planning, safety, and facilities sectors of the university, coordinating with local transportation planning, facilities, and safety organizations and agencies engaged in transportation planning for the region</w:t>
      </w:r>
      <w:r w:rsidRPr="008E0DCD">
        <w:t xml:space="preserve">, </w:t>
      </w:r>
      <w:r w:rsidRPr="008E0DCD">
        <w:rPr>
          <w:rFonts w:eastAsia="Times Roman"/>
        </w:rPr>
        <w:t>beginning in Spring 2019, to advance a comprehensive transportation study that will lead to the development of a Comprehensive Transportation Plan; and</w:t>
      </w:r>
    </w:p>
    <w:p w:rsidR="00E33B5C" w:rsidRDefault="00E33B5C" w:rsidP="00E33B5C">
      <w:pPr>
        <w:ind w:left="720" w:hanging="720"/>
        <w:rPr>
          <w:rFonts w:eastAsia="Times Roman"/>
        </w:rPr>
      </w:pPr>
    </w:p>
    <w:p w:rsidR="00E33B5C" w:rsidRDefault="00E33B5C" w:rsidP="00E33B5C">
      <w:pPr>
        <w:ind w:left="720" w:hanging="720"/>
        <w:rPr>
          <w:rFonts w:eastAsia="Times Roman"/>
        </w:rPr>
      </w:pPr>
      <w:r>
        <w:rPr>
          <w:rFonts w:eastAsia="Times Roman"/>
          <w:b/>
        </w:rPr>
        <w:t>Resolved</w:t>
      </w:r>
      <w:r>
        <w:rPr>
          <w:rFonts w:eastAsia="Times Roman"/>
        </w:rPr>
        <w:t xml:space="preserve">, that this comprehensive plan incorporate the </w:t>
      </w:r>
      <w:r>
        <w:t>focused transportation assessment being conducted as part of the Nor</w:t>
      </w:r>
      <w:r w:rsidR="00127D59">
        <w:t>th Campus Residential Expansion,</w:t>
      </w:r>
      <w:r>
        <w:t xml:space="preserve"> and</w:t>
      </w:r>
      <w:r w:rsidR="00127D59">
        <w:t xml:space="preserve"> incorporate transportation planning for the new Maplewood development and the proposed East Village development; and </w:t>
      </w:r>
    </w:p>
    <w:p w:rsidR="00E33B5C" w:rsidRPr="008E0DCD" w:rsidRDefault="00E33B5C" w:rsidP="00E33B5C">
      <w:pPr>
        <w:rPr>
          <w:rFonts w:eastAsia="Times Roman"/>
        </w:rPr>
      </w:pPr>
    </w:p>
    <w:p w:rsidR="00E33B5C" w:rsidRDefault="00E33B5C" w:rsidP="00E33B5C">
      <w:pPr>
        <w:ind w:left="720" w:hanging="720"/>
        <w:rPr>
          <w:rFonts w:eastAsia="Times Roman"/>
        </w:rPr>
      </w:pPr>
      <w:r w:rsidRPr="008E0DCD">
        <w:rPr>
          <w:rFonts w:eastAsia="Times Roman"/>
          <w:b/>
        </w:rPr>
        <w:t xml:space="preserve">Be it </w:t>
      </w:r>
      <w:r>
        <w:rPr>
          <w:rFonts w:eastAsia="Times Roman"/>
          <w:b/>
        </w:rPr>
        <w:t>Finally</w:t>
      </w:r>
      <w:r w:rsidRPr="008E0DCD">
        <w:rPr>
          <w:rFonts w:eastAsia="Times Roman"/>
          <w:b/>
        </w:rPr>
        <w:t xml:space="preserve"> </w:t>
      </w:r>
      <w:r>
        <w:rPr>
          <w:rFonts w:eastAsia="Times Roman"/>
          <w:b/>
        </w:rPr>
        <w:t>R</w:t>
      </w:r>
      <w:r w:rsidRPr="008E0DCD">
        <w:rPr>
          <w:rFonts w:eastAsia="Times Roman"/>
          <w:b/>
        </w:rPr>
        <w:t xml:space="preserve">esolved, </w:t>
      </w:r>
      <w:r w:rsidRPr="008E0DCD">
        <w:rPr>
          <w:rFonts w:eastAsia="Times Roman"/>
        </w:rPr>
        <w:t>that the university allocate sufficient funds for that study; and to develop the plan, and that the appropriate elements in the plan be integrated into the comprehensive plan of the university.</w:t>
      </w:r>
    </w:p>
    <w:p w:rsidR="00E33B5C" w:rsidRDefault="00E33B5C" w:rsidP="00E33B5C">
      <w:pPr>
        <w:suppressLineNumbers/>
        <w:rPr>
          <w:b/>
        </w:rPr>
      </w:pPr>
    </w:p>
    <w:p w:rsidR="00E33B5C" w:rsidRPr="004870A1" w:rsidRDefault="00E33B5C" w:rsidP="00E33B5C">
      <w:pPr>
        <w:suppressLineNumbers/>
      </w:pPr>
      <w:r>
        <w:rPr>
          <w:b/>
        </w:rPr>
        <w:t>No signature block is present until the resolution has been disposed of by the Assembly (Passed, Failed, Withdrawn, etc.)  Then a block with the certifying member (customarily Chair/Vice-Chair) verifying the authenticity and vote tally of the resolution.</w:t>
      </w:r>
    </w:p>
    <w:sectPr w:rsidR="00E33B5C" w:rsidRPr="004870A1" w:rsidSect="00E33B5C">
      <w:headerReference w:type="default" r:id="rId7"/>
      <w:footerReference w:type="default" r:id="rId8"/>
      <w:pgSz w:w="12240" w:h="15840"/>
      <w:pgMar w:top="1440" w:right="1440" w:bottom="1440" w:left="1440" w:header="720" w:footer="720" w:gutter="0"/>
      <w:lnNumType w:countBy="1" w:restart="continuou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E01" w:rsidRDefault="003A4E01">
      <w:r>
        <w:separator/>
      </w:r>
    </w:p>
  </w:endnote>
  <w:endnote w:type="continuationSeparator" w:id="0">
    <w:p w:rsidR="003A4E01" w:rsidRDefault="003A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Roman">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B5C" w:rsidRPr="004051B0" w:rsidRDefault="00E33B5C">
    <w:pPr>
      <w:pStyle w:val="Footer"/>
      <w:pBdr>
        <w:bottom w:val="single" w:sz="12" w:space="1" w:color="auto"/>
      </w:pBdr>
      <w:rPr>
        <w:rFonts w:ascii="Georgia" w:hAnsi="Georgia"/>
        <w:i/>
      </w:rPr>
    </w:pPr>
    <w:r w:rsidRPr="004051B0">
      <w:rPr>
        <w:rFonts w:ascii="Georgia" w:hAnsi="Georgia"/>
        <w:i/>
      </w:rPr>
      <w:softHyphen/>
    </w:r>
    <w:r w:rsidRPr="004051B0">
      <w:rPr>
        <w:rFonts w:ascii="Georgia" w:hAnsi="Georgia"/>
        <w:i/>
      </w:rPr>
      <w:softHyphen/>
    </w:r>
    <w:r w:rsidRPr="004051B0">
      <w:rPr>
        <w:rFonts w:ascii="Georgia" w:hAnsi="Georgia"/>
        <w:i/>
      </w:rPr>
      <w:softHyphen/>
    </w:r>
    <w:r w:rsidRPr="004051B0">
      <w:rPr>
        <w:rFonts w:ascii="Georgia" w:hAnsi="Georgia"/>
        <w:i/>
      </w:rPr>
      <w:softHyphen/>
    </w:r>
    <w:r w:rsidRPr="004051B0">
      <w:rPr>
        <w:rFonts w:ascii="Georgia" w:hAnsi="Georgia"/>
        <w:i/>
      </w:rPr>
      <w:softHyphen/>
    </w:r>
    <w:r w:rsidRPr="004051B0">
      <w:rPr>
        <w:rFonts w:ascii="Georgia" w:hAnsi="Georgia"/>
        <w:i/>
      </w:rPr>
      <w:softHyphen/>
    </w:r>
    <w:r w:rsidRPr="004051B0">
      <w:rPr>
        <w:rFonts w:ascii="Georgia" w:hAnsi="Georgia"/>
        <w:i/>
      </w:rPr>
      <w:softHyphen/>
    </w:r>
    <w:r w:rsidRPr="004051B0">
      <w:rPr>
        <w:rFonts w:ascii="Georgia" w:hAnsi="Georgia"/>
        <w:i/>
      </w:rPr>
      <w:softHyphen/>
    </w:r>
  </w:p>
  <w:p w:rsidR="00E33B5C" w:rsidRDefault="00E33B5C">
    <w:pPr>
      <w:pStyle w:val="Footer"/>
      <w:rPr>
        <w:rFonts w:ascii="Georgia" w:hAnsi="Georgia"/>
        <w:b/>
        <w:i/>
      </w:rPr>
    </w:pPr>
    <w:r w:rsidRPr="004051B0">
      <w:rPr>
        <w:rFonts w:ascii="Georgia" w:hAnsi="Georgia"/>
        <w:i/>
      </w:rPr>
      <w:softHyphen/>
    </w:r>
    <w:r w:rsidRPr="004051B0">
      <w:rPr>
        <w:rFonts w:ascii="Georgia" w:hAnsi="Georgia"/>
        <w:b/>
        <w:i/>
      </w:rPr>
      <w:t xml:space="preserve">University </w:t>
    </w:r>
    <w:r>
      <w:rPr>
        <w:rFonts w:ascii="Georgia" w:hAnsi="Georgia"/>
        <w:b/>
        <w:i/>
      </w:rPr>
      <w:t>Assembly</w:t>
    </w:r>
    <w:r w:rsidRPr="004051B0">
      <w:rPr>
        <w:rFonts w:ascii="Georgia" w:hAnsi="Georgia"/>
        <w:b/>
        <w:i/>
      </w:rPr>
      <w:t xml:space="preserve"> </w:t>
    </w:r>
    <w:r w:rsidRPr="004051B0">
      <w:rPr>
        <w:rFonts w:ascii="Georgia" w:hAnsi="Georgia"/>
      </w:rPr>
      <w:sym w:font="Symbol" w:char="F0BD"/>
    </w:r>
    <w:r w:rsidRPr="004051B0">
      <w:rPr>
        <w:rFonts w:ascii="Georgia" w:hAnsi="Georgia"/>
        <w:b/>
        <w:i/>
      </w:rPr>
      <w:t>www.</w:t>
    </w:r>
    <w:r>
      <w:rPr>
        <w:rFonts w:ascii="Georgia" w:hAnsi="Georgia"/>
        <w:b/>
        <w:i/>
      </w:rPr>
      <w:t>Assembly.Cornell.edu/UA</w:t>
    </w:r>
  </w:p>
  <w:p w:rsidR="00E33B5C" w:rsidRPr="004051B0" w:rsidRDefault="00E33B5C">
    <w:pPr>
      <w:pStyle w:val="Footer"/>
      <w:rPr>
        <w:rFonts w:ascii="Georgia" w:hAnsi="Georgia"/>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E01" w:rsidRDefault="003A4E01">
      <w:r>
        <w:separator/>
      </w:r>
    </w:p>
  </w:footnote>
  <w:footnote w:type="continuationSeparator" w:id="0">
    <w:p w:rsidR="003A4E01" w:rsidRDefault="003A4E01">
      <w:r>
        <w:continuationSeparator/>
      </w:r>
    </w:p>
  </w:footnote>
  <w:footnote w:id="1">
    <w:p w:rsidR="00E33B5C" w:rsidRDefault="00E33B5C" w:rsidP="00E33B5C">
      <w:pPr>
        <w:pStyle w:val="FootnoteText"/>
      </w:pPr>
      <w:r w:rsidRPr="003E4191">
        <w:rPr>
          <w:rStyle w:val="FootnoteReference"/>
        </w:rPr>
        <w:footnoteRef/>
      </w:r>
      <w:r w:rsidRPr="006769A9">
        <w:t xml:space="preserve"> </w:t>
      </w:r>
      <w:r w:rsidRPr="003E4191">
        <w:t>University Assembly Charter; Article III, § 3.1: Authority in policy development</w:t>
      </w:r>
    </w:p>
  </w:footnote>
  <w:footnote w:id="2">
    <w:p w:rsidR="00E33B5C" w:rsidRDefault="00E33B5C">
      <w:pPr>
        <w:pStyle w:val="FootnoteText"/>
      </w:pPr>
      <w:r>
        <w:rPr>
          <w:rStyle w:val="FootnoteReference"/>
        </w:rPr>
        <w:footnoteRef/>
      </w:r>
      <w:r>
        <w:t xml:space="preserve"> </w:t>
      </w:r>
      <w:r>
        <w:t>Regarding the North Campus Residential Expansion (“NCRE”)</w:t>
      </w:r>
    </w:p>
  </w:footnote>
  <w:footnote w:id="3">
    <w:p w:rsidR="00E33B5C" w:rsidRDefault="00E33B5C">
      <w:pPr>
        <w:pStyle w:val="FootnoteText"/>
      </w:pPr>
      <w:r>
        <w:rPr>
          <w:rStyle w:val="FootnoteReference"/>
        </w:rPr>
        <w:footnoteRef/>
      </w:r>
      <w:r>
        <w:t xml:space="preserve"> </w:t>
      </w:r>
      <w:r w:rsidRPr="00F36118">
        <w:t>http://scl.cornell.edu/about-us/housing-master-plan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B5C" w:rsidRDefault="00163CB1">
    <w:pPr>
      <w:pStyle w:val="Header"/>
    </w:pPr>
    <w:r w:rsidRPr="00FC5CF3">
      <w:rPr>
        <w:noProof/>
      </w:rPr>
      <w:drawing>
        <wp:inline distT="0" distB="0" distL="0" distR="0">
          <wp:extent cx="3122295" cy="902970"/>
          <wp:effectExtent l="0" t="0" r="0" b="0"/>
          <wp:docPr id="1" name="Picture 1" descr="assemblies:Branding:ooa_ua:print:mac:OOA_UA_2line_4c.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ssemblies:Branding:ooa_ua:print:mac:OOA_UA_2line_4c.ep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2295" cy="902970"/>
                  </a:xfrm>
                  <a:prstGeom prst="rect">
                    <a:avLst/>
                  </a:prstGeom>
                  <a:noFill/>
                  <a:ln>
                    <a:noFill/>
                  </a:ln>
                </pic:spPr>
              </pic:pic>
            </a:graphicData>
          </a:graphic>
        </wp:inline>
      </w:drawing>
    </w:r>
  </w:p>
  <w:p w:rsidR="00E33B5C" w:rsidRDefault="00E33B5C">
    <w:pPr>
      <w:pStyle w:val="Header"/>
    </w:pPr>
  </w:p>
  <w:p w:rsidR="00E33B5C" w:rsidRDefault="00E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06DD5"/>
    <w:multiLevelType w:val="hybridMultilevel"/>
    <w:tmpl w:val="166EF1E6"/>
    <w:lvl w:ilvl="0" w:tplc="F6689D1E">
      <w:start w:val="1"/>
      <w:numFmt w:val="upperRoman"/>
      <w:pStyle w:val="Heading1"/>
      <w:lvlText w:val="%1."/>
      <w:lvlJc w:val="left"/>
      <w:pPr>
        <w:tabs>
          <w:tab w:val="num" w:pos="1080"/>
        </w:tabs>
        <w:ind w:left="1080" w:hanging="720"/>
      </w:p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EBF07E9"/>
    <w:multiLevelType w:val="hybridMultilevel"/>
    <w:tmpl w:val="C694C54E"/>
    <w:lvl w:ilvl="0" w:tplc="B0403674">
      <w:start w:val="1"/>
      <w:numFmt w:val="upperRoman"/>
      <w:lvlText w:val="%1."/>
      <w:lvlJc w:val="right"/>
      <w:pPr>
        <w:ind w:left="720" w:hanging="360"/>
      </w:pPr>
      <w:rPr>
        <w:b/>
        <w:i w:val="0"/>
      </w:rPr>
    </w:lvl>
    <w:lvl w:ilvl="1" w:tplc="3502EB9E">
      <w:start w:val="1"/>
      <w:numFmt w:val="decimal"/>
      <w:lvlText w:val="%2."/>
      <w:lvlJc w:val="left"/>
      <w:pPr>
        <w:ind w:left="1440" w:hanging="360"/>
      </w:pPr>
      <w:rPr>
        <w:b w:val="0"/>
        <w:i w:val="0"/>
      </w:rPr>
    </w:lvl>
    <w:lvl w:ilvl="2" w:tplc="D018E4FC">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826"/>
    <w:rsid w:val="00053EB4"/>
    <w:rsid w:val="00127D59"/>
    <w:rsid w:val="00163CB1"/>
    <w:rsid w:val="003A4E01"/>
    <w:rsid w:val="00E2352D"/>
    <w:rsid w:val="00E33B5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27E9BC"/>
  <w15:chartTrackingRefBased/>
  <w15:docId w15:val="{40F08AE3-EDF0-2044-9C17-9D8D7FC4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Grid 1"/>
    <w:lsdException w:name="List Paragraph" w:qFormat="1"/>
    <w:lsdException w:name="Quote" w:qFormat="1"/>
    <w:lsdException w:name="Intense Quote" w:qFormat="1"/>
    <w:lsdException w:name="Colorful Shading Accent 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4826"/>
    <w:rPr>
      <w:rFonts w:ascii="Times New Roman" w:eastAsia="Times New Roman" w:hAnsi="Times New Roman"/>
      <w:sz w:val="24"/>
      <w:szCs w:val="24"/>
    </w:rPr>
  </w:style>
  <w:style w:type="paragraph" w:styleId="Heading1">
    <w:name w:val="heading 1"/>
    <w:basedOn w:val="Normal"/>
    <w:next w:val="Normal"/>
    <w:link w:val="Heading1Char"/>
    <w:uiPriority w:val="99"/>
    <w:qFormat/>
    <w:rsid w:val="00614826"/>
    <w:pPr>
      <w:keepNext/>
      <w:numPr>
        <w:numId w:val="1"/>
      </w:numPr>
      <w:outlineLvl w:val="0"/>
    </w:pPr>
    <w:rPr>
      <w:rFonts w:ascii="Garamond" w:eastAsia="Calibri" w:hAnsi="Garamond"/>
      <w:b/>
      <w:sz w:val="20"/>
      <w:szCs w:val="20"/>
      <w:lang w:val="x-none" w:eastAsia="x-non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9"/>
    <w:rsid w:val="00614826"/>
    <w:rPr>
      <w:rFonts w:ascii="Garamond" w:eastAsia="Calibri" w:hAnsi="Garamond" w:cs="Times New Roman"/>
      <w:b/>
      <w:szCs w:val="20"/>
    </w:rPr>
  </w:style>
  <w:style w:type="paragraph" w:styleId="Footer">
    <w:name w:val="footer"/>
    <w:basedOn w:val="Normal"/>
    <w:link w:val="FooterChar"/>
    <w:rsid w:val="00614826"/>
    <w:pPr>
      <w:tabs>
        <w:tab w:val="center" w:pos="4320"/>
        <w:tab w:val="right" w:pos="8640"/>
      </w:tabs>
    </w:pPr>
    <w:rPr>
      <w:sz w:val="20"/>
      <w:szCs w:val="20"/>
      <w:lang w:val="x-none" w:eastAsia="x-none"/>
    </w:rPr>
  </w:style>
  <w:style w:type="character" w:customStyle="1" w:styleId="FooterChar">
    <w:name w:val="Footer Char"/>
    <w:link w:val="Footer"/>
    <w:rsid w:val="00614826"/>
    <w:rPr>
      <w:rFonts w:ascii="Times New Roman" w:eastAsia="Times New Roman" w:hAnsi="Times New Roman" w:cs="Times New Roman"/>
    </w:rPr>
  </w:style>
  <w:style w:type="paragraph" w:styleId="Header">
    <w:name w:val="header"/>
    <w:basedOn w:val="Normal"/>
    <w:link w:val="HeaderChar"/>
    <w:uiPriority w:val="99"/>
    <w:unhideWhenUsed/>
    <w:rsid w:val="00B1764B"/>
    <w:pPr>
      <w:tabs>
        <w:tab w:val="center" w:pos="4320"/>
        <w:tab w:val="right" w:pos="8640"/>
      </w:tabs>
    </w:pPr>
    <w:rPr>
      <w:sz w:val="20"/>
      <w:szCs w:val="20"/>
      <w:lang w:val="x-none" w:eastAsia="x-none"/>
    </w:rPr>
  </w:style>
  <w:style w:type="character" w:customStyle="1" w:styleId="HeaderChar">
    <w:name w:val="Header Char"/>
    <w:link w:val="Header"/>
    <w:uiPriority w:val="99"/>
    <w:rsid w:val="00B1764B"/>
    <w:rPr>
      <w:rFonts w:ascii="Times New Roman" w:eastAsia="Times New Roman" w:hAnsi="Times New Roman" w:cs="Times New Roman"/>
    </w:rPr>
  </w:style>
  <w:style w:type="character" w:styleId="LineNumber">
    <w:name w:val="line number"/>
    <w:basedOn w:val="DefaultParagraphFont"/>
    <w:rsid w:val="00166A2C"/>
  </w:style>
  <w:style w:type="paragraph" w:styleId="BalloonText">
    <w:name w:val="Balloon Text"/>
    <w:basedOn w:val="Normal"/>
    <w:link w:val="BalloonTextChar"/>
    <w:rsid w:val="003477F1"/>
    <w:rPr>
      <w:rFonts w:ascii="Lucida Grande" w:hAnsi="Lucida Grande"/>
      <w:sz w:val="18"/>
      <w:szCs w:val="18"/>
      <w:lang w:val="x-none" w:eastAsia="x-none"/>
    </w:rPr>
  </w:style>
  <w:style w:type="character" w:customStyle="1" w:styleId="BalloonTextChar">
    <w:name w:val="Balloon Text Char"/>
    <w:link w:val="BalloonText"/>
    <w:rsid w:val="003477F1"/>
    <w:rPr>
      <w:rFonts w:ascii="Lucida Grande" w:eastAsia="Times New Roman" w:hAnsi="Lucida Grande" w:cs="Lucida Grande"/>
      <w:sz w:val="18"/>
      <w:szCs w:val="18"/>
    </w:rPr>
  </w:style>
  <w:style w:type="paragraph" w:customStyle="1" w:styleId="Default">
    <w:name w:val="Default"/>
    <w:rsid w:val="00067E55"/>
    <w:pPr>
      <w:autoSpaceDE w:val="0"/>
      <w:autoSpaceDN w:val="0"/>
      <w:adjustRightInd w:val="0"/>
    </w:pPr>
    <w:rPr>
      <w:rFonts w:ascii="Georgia" w:eastAsia="Calibri" w:hAnsi="Georgia" w:cs="Georgia"/>
      <w:color w:val="000000"/>
      <w:sz w:val="24"/>
      <w:szCs w:val="24"/>
    </w:rPr>
  </w:style>
  <w:style w:type="paragraph" w:customStyle="1" w:styleId="Body">
    <w:name w:val="Body"/>
    <w:rsid w:val="00FE17D1"/>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styleId="FootnoteText">
    <w:name w:val="footnote text"/>
    <w:basedOn w:val="Normal"/>
    <w:link w:val="FootnoteTextChar"/>
    <w:unhideWhenUsed/>
    <w:rsid w:val="005D2345"/>
    <w:rPr>
      <w:sz w:val="20"/>
      <w:szCs w:val="20"/>
      <w:lang w:val="x-none" w:eastAsia="zh-CN"/>
    </w:rPr>
  </w:style>
  <w:style w:type="character" w:customStyle="1" w:styleId="FootnoteTextChar">
    <w:name w:val="Footnote Text Char"/>
    <w:link w:val="FootnoteText"/>
    <w:rsid w:val="005D2345"/>
    <w:rPr>
      <w:rFonts w:ascii="Times New Roman" w:eastAsia="Times New Roman" w:hAnsi="Times New Roman" w:cs="Times New Roman"/>
      <w:sz w:val="20"/>
      <w:szCs w:val="20"/>
      <w:lang w:eastAsia="zh-CN"/>
    </w:rPr>
  </w:style>
  <w:style w:type="character" w:styleId="FootnoteReference">
    <w:name w:val="footnote reference"/>
    <w:unhideWhenUsed/>
    <w:rsid w:val="005D2345"/>
    <w:rPr>
      <w:vertAlign w:val="superscript"/>
    </w:rPr>
  </w:style>
  <w:style w:type="character" w:styleId="CommentReference">
    <w:name w:val="annotation reference"/>
    <w:semiHidden/>
    <w:unhideWhenUsed/>
    <w:rsid w:val="00A10219"/>
    <w:rPr>
      <w:sz w:val="16"/>
      <w:szCs w:val="16"/>
    </w:rPr>
  </w:style>
  <w:style w:type="paragraph" w:styleId="CommentText">
    <w:name w:val="annotation text"/>
    <w:basedOn w:val="Normal"/>
    <w:link w:val="CommentTextChar"/>
    <w:semiHidden/>
    <w:unhideWhenUsed/>
    <w:rsid w:val="00A10219"/>
    <w:rPr>
      <w:sz w:val="20"/>
      <w:szCs w:val="20"/>
      <w:lang w:val="x-none" w:eastAsia="x-none"/>
    </w:rPr>
  </w:style>
  <w:style w:type="character" w:customStyle="1" w:styleId="CommentTextChar">
    <w:name w:val="Comment Text Char"/>
    <w:link w:val="CommentText"/>
    <w:semiHidden/>
    <w:rsid w:val="00A10219"/>
    <w:rPr>
      <w:rFonts w:ascii="Times New Roman" w:eastAsia="Times New Roman" w:hAnsi="Times New Roman"/>
    </w:rPr>
  </w:style>
  <w:style w:type="paragraph" w:styleId="CommentSubject">
    <w:name w:val="annotation subject"/>
    <w:basedOn w:val="CommentText"/>
    <w:next w:val="CommentText"/>
    <w:link w:val="CommentSubjectChar"/>
    <w:semiHidden/>
    <w:unhideWhenUsed/>
    <w:rsid w:val="00A10219"/>
    <w:rPr>
      <w:b/>
      <w:bCs/>
    </w:rPr>
  </w:style>
  <w:style w:type="character" w:customStyle="1" w:styleId="CommentSubjectChar">
    <w:name w:val="Comment Subject Char"/>
    <w:link w:val="CommentSubject"/>
    <w:semiHidden/>
    <w:rsid w:val="00A10219"/>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57283">
      <w:bodyDiv w:val="1"/>
      <w:marLeft w:val="0"/>
      <w:marRight w:val="0"/>
      <w:marTop w:val="0"/>
      <w:marBottom w:val="0"/>
      <w:divBdr>
        <w:top w:val="none" w:sz="0" w:space="0" w:color="auto"/>
        <w:left w:val="none" w:sz="0" w:space="0" w:color="auto"/>
        <w:bottom w:val="none" w:sz="0" w:space="0" w:color="auto"/>
        <w:right w:val="none" w:sz="0" w:space="0" w:color="auto"/>
      </w:divBdr>
    </w:div>
    <w:div w:id="554506653">
      <w:bodyDiv w:val="1"/>
      <w:marLeft w:val="0"/>
      <w:marRight w:val="0"/>
      <w:marTop w:val="0"/>
      <w:marBottom w:val="0"/>
      <w:divBdr>
        <w:top w:val="none" w:sz="0" w:space="0" w:color="auto"/>
        <w:left w:val="none" w:sz="0" w:space="0" w:color="auto"/>
        <w:bottom w:val="none" w:sz="0" w:space="0" w:color="auto"/>
        <w:right w:val="none" w:sz="0" w:space="0" w:color="auto"/>
      </w:divBdr>
    </w:div>
    <w:div w:id="945428866">
      <w:bodyDiv w:val="1"/>
      <w:marLeft w:val="0"/>
      <w:marRight w:val="0"/>
      <w:marTop w:val="0"/>
      <w:marBottom w:val="0"/>
      <w:divBdr>
        <w:top w:val="none" w:sz="0" w:space="0" w:color="auto"/>
        <w:left w:val="none" w:sz="0" w:space="0" w:color="auto"/>
        <w:bottom w:val="none" w:sz="0" w:space="0" w:color="auto"/>
        <w:right w:val="none" w:sz="0" w:space="0" w:color="auto"/>
      </w:divBdr>
    </w:div>
    <w:div w:id="1091393837">
      <w:bodyDiv w:val="1"/>
      <w:marLeft w:val="0"/>
      <w:marRight w:val="0"/>
      <w:marTop w:val="0"/>
      <w:marBottom w:val="0"/>
      <w:divBdr>
        <w:top w:val="none" w:sz="0" w:space="0" w:color="auto"/>
        <w:left w:val="none" w:sz="0" w:space="0" w:color="auto"/>
        <w:bottom w:val="none" w:sz="0" w:space="0" w:color="auto"/>
        <w:right w:val="none" w:sz="0" w:space="0" w:color="auto"/>
      </w:divBdr>
    </w:div>
    <w:div w:id="1153252727">
      <w:bodyDiv w:val="1"/>
      <w:marLeft w:val="0"/>
      <w:marRight w:val="0"/>
      <w:marTop w:val="0"/>
      <w:marBottom w:val="0"/>
      <w:divBdr>
        <w:top w:val="none" w:sz="0" w:space="0" w:color="auto"/>
        <w:left w:val="none" w:sz="0" w:space="0" w:color="auto"/>
        <w:bottom w:val="none" w:sz="0" w:space="0" w:color="auto"/>
        <w:right w:val="none" w:sz="0" w:space="0" w:color="auto"/>
      </w:divBdr>
    </w:div>
    <w:div w:id="195101436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Terrill Demone Malone</dc:creator>
  <cp:keywords/>
  <cp:lastModifiedBy>Terrill Demone Malone</cp:lastModifiedBy>
  <cp:revision>1</cp:revision>
  <cp:lastPrinted>2018-04-17T18:44:00Z</cp:lastPrinted>
  <dcterms:created xsi:type="dcterms:W3CDTF">2018-05-13T20:56:00Z</dcterms:created>
  <dcterms:modified xsi:type="dcterms:W3CDTF">2018-05-13T21:00:00Z</dcterms:modified>
  <cp:category/>
</cp:coreProperties>
</file>